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5F5F5" w:sz="12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0"/>
        <w:jc w:val="center"/>
        <w:rPr>
          <w:rFonts w:ascii="Calibri" w:hAnsi="Calibri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ascii="Calibri" w:hAnsi="Calibri" w:eastAsia="宋体" w:cs="Times New Roman"/>
          <w:kern w:val="0"/>
          <w:sz w:val="28"/>
          <w:szCs w:val="28"/>
          <w:lang w:val="en-US" w:eastAsia="zh-CN" w:bidi="ar"/>
        </w:rPr>
        <w:t>来桂留学基地精品课程</w:t>
      </w:r>
      <w:r>
        <w:rPr>
          <w:rFonts w:hint="eastAsia" w:cs="Times New Roman"/>
          <w:kern w:val="0"/>
          <w:sz w:val="28"/>
          <w:szCs w:val="28"/>
          <w:lang w:val="en-US" w:eastAsia="zh-CN" w:bidi="ar"/>
        </w:rPr>
        <w:t>与</w:t>
      </w:r>
      <w:r>
        <w:rPr>
          <w:rFonts w:ascii="Calibri" w:hAnsi="Calibri" w:eastAsia="宋体" w:cs="Times New Roman"/>
          <w:kern w:val="0"/>
          <w:sz w:val="28"/>
          <w:szCs w:val="28"/>
          <w:lang w:val="en-US" w:eastAsia="zh-CN" w:bidi="ar"/>
        </w:rPr>
        <w:t>精品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专业</w:t>
      </w:r>
      <w:r>
        <w:rPr>
          <w:rFonts w:ascii="Calibri" w:hAnsi="Calibri" w:eastAsia="宋体" w:cs="Times New Roman"/>
          <w:kern w:val="0"/>
          <w:sz w:val="28"/>
          <w:szCs w:val="28"/>
          <w:lang w:val="en-US" w:eastAsia="zh-CN" w:bidi="ar"/>
        </w:rPr>
        <w:t>建设</w:t>
      </w:r>
      <w:r>
        <w:rPr>
          <w:rFonts w:hint="default" w:ascii="Calibri" w:hAnsi="Calibri" w:eastAsia="宋体" w:cs="Times New Roman"/>
          <w:kern w:val="0"/>
          <w:sz w:val="28"/>
          <w:szCs w:val="28"/>
          <w:lang w:val="en-US" w:eastAsia="zh-CN" w:bidi="ar"/>
        </w:rPr>
        <w:t>项目验收</w:t>
      </w:r>
      <w:r>
        <w:rPr>
          <w:rFonts w:hint="eastAsia" w:ascii="Calibri" w:hAnsi="Calibri" w:eastAsia="宋体" w:cs="Times New Roman"/>
          <w:kern w:val="0"/>
          <w:sz w:val="28"/>
          <w:szCs w:val="28"/>
          <w:lang w:val="en-US" w:eastAsia="zh-CN" w:bidi="ar"/>
        </w:rPr>
        <w:t>指标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5F5F5" w:sz="12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0"/>
        <w:jc w:val="center"/>
        <w:rPr>
          <w:rFonts w:ascii="Calibri" w:hAnsi="Calibri" w:eastAsia="宋体" w:cs="Times New Roman"/>
          <w:kern w:val="0"/>
          <w:sz w:val="28"/>
          <w:szCs w:val="28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Style w:val="4"/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1.来桂留学基地精品课程课程验收标准</w:t>
      </w:r>
    </w:p>
    <w:tbl>
      <w:tblPr>
        <w:tblStyle w:val="2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418"/>
        <w:gridCol w:w="5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  <w:tc>
          <w:tcPr>
            <w:tcW w:w="59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评价标准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2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课程建设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非视频资源</w:t>
            </w:r>
          </w:p>
        </w:tc>
        <w:tc>
          <w:tcPr>
            <w:tcW w:w="5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需有完整教学资料，含课程介绍、教学大纲、模块描述、课件、参考资料、讨论、测试、作业、考试等；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课程拓展资源，每学分不低于</w:t>
            </w:r>
            <w:r>
              <w:rPr>
                <w:rFonts w:hint="default" w:ascii="瀹嬩綋" w:hAnsi="瀹嬩綋" w:eastAsia="瀹嬩綋" w:cs="瀹嬩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视频资源</w:t>
            </w:r>
          </w:p>
        </w:tc>
        <w:tc>
          <w:tcPr>
            <w:tcW w:w="5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利用国家级、省级精品课程或自建网络资源，利用网络教学平台，每学分需提供不低于</w:t>
            </w:r>
            <w:r>
              <w:rPr>
                <w:rFonts w:hint="default" w:ascii="瀹嬩綋" w:hAnsi="瀹嬩綋" w:eastAsia="瀹嬩綋" w:cs="瀹嬩綋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分钟的视频学习量，供学生自主学习，能通过网络平台检测每位学生学习量及学习效果，并在课堂教学中对学生自主学习部分进行检测。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教学时间安排</w:t>
            </w:r>
          </w:p>
        </w:tc>
        <w:tc>
          <w:tcPr>
            <w:tcW w:w="5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每学分对应的教学时间与学生自主学习时间的比例小于</w:t>
            </w:r>
            <w:r>
              <w:rPr>
                <w:rFonts w:hint="default" w:ascii="瀹嬩綋" w:hAnsi="瀹嬩綋" w:eastAsia="瀹嬩綋" w:cs="瀹嬩綋"/>
                <w:color w:val="000000"/>
                <w:kern w:val="0"/>
                <w:sz w:val="24"/>
                <w:szCs w:val="24"/>
                <w:lang w:val="en-US" w:eastAsia="zh-CN" w:bidi="ar"/>
              </w:rPr>
              <w:t>1:1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不减少大纲知识展示量的基础上，增强课堂中与学生的交互性，通过多种方式，每节课不低于</w:t>
            </w:r>
            <w:r>
              <w:rPr>
                <w:rFonts w:hint="default" w:ascii="瀹嬩綋" w:hAnsi="瀹嬩綋" w:eastAsia="瀹嬩綋" w:cs="瀹嬩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分钟互动时间，提高学生对知识的理解程度。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教学活动与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学习指导</w:t>
            </w:r>
          </w:p>
        </w:tc>
        <w:tc>
          <w:tcPr>
            <w:tcW w:w="5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充分发挥学生自主学习，与自我解决的能力，鼓励学生之间互相解决问题。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5F5F5" w:sz="12" w:space="0"/>
          <w:right w:val="none" w:color="auto" w:sz="0" w:space="0"/>
        </w:pBdr>
        <w:spacing w:before="0" w:beforeAutospacing="0" w:after="90" w:afterAutospacing="0" w:line="600" w:lineRule="atLeast"/>
        <w:ind w:left="0" w:right="0" w:firstLine="0"/>
        <w:jc w:val="center"/>
        <w:rPr>
          <w:rFonts w:hint="default" w:ascii="瀹嬩綋" w:hAnsi="瀹嬩綋" w:eastAsia="瀹嬩綋" w:cs="瀹嬩綋"/>
          <w:i w:val="0"/>
          <w:iCs w:val="0"/>
          <w:caps w:val="0"/>
          <w:color w:val="727272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2.来桂留学基地精品专业建设</w:t>
      </w:r>
      <w:r>
        <w:rPr>
          <w:rStyle w:val="4"/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项目验收</w:t>
      </w: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指标点</w:t>
      </w: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5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8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观测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</w:tc>
        <w:tc>
          <w:tcPr>
            <w:tcW w:w="3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</w:trPr>
        <w:tc>
          <w:tcPr>
            <w:tcW w:w="18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1.留学生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人才培养方案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专业办学定位；人才培养目标；课程体系改革；人才培养模式改革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2.师资队伍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教学队伍的优化；专业带头人建设；教学名师；专业教学团队建设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3.资源建设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一流课程建设（国家级、省级）；课程群建设；教材优化建设；教学资源共享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4.教学改革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持续深化教育教学改革；新理念、新形态、新方法引领带动新工科、新文科建设；教学研究；课程体系改革；科研转化教学；教学质量监控体系、制度；创新创业教育改革；考核、考试改革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5.实践教学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实验和实践教学平台建设；实践教学改革；合作育人及平台建设；实践基地建设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6.学生参与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学生参与国家、省、校三级研究性学习与创新实验计划项目情况，参与科研情况；学生发表科研论文等情况。学生在国家级、省级学科竞赛中获奖。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7.改革成效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整体教学质量与来桂留学生招生、就业率与升学率；教学成果奖；教师教学比赛获奖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8.特色</w:t>
            </w:r>
          </w:p>
        </w:tc>
        <w:tc>
          <w:tcPr>
            <w:tcW w:w="3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专业特色鲜明，体现了来桂留学生的特点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MmQ0YWJlZTM1YTBjOTQ0ZTJjMmE0ZjZmNTUwMGQifQ=="/>
  </w:docVars>
  <w:rsids>
    <w:rsidRoot w:val="00000000"/>
    <w:rsid w:val="08D33C72"/>
    <w:rsid w:val="552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2023-07-27T13:50:00Z</dcterms:created>
  <dc:creator>Administrator</dc:creator>
  <cp:lastModifiedBy>陈耀恒</cp:lastModifiedBy>
  <dcterms:modified xsi:type="dcterms:W3CDTF">2023-07-27T14:08:18Z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19106630890248938C64CF07927615AC_12</vt:lpwstr>
  </property>
</Properties>
</file>