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微软雅黑" w:eastAsia="方正小标宋简体" w:cs="Tahoma"/>
          <w:bCs/>
          <w:color w:val="000000"/>
          <w:sz w:val="44"/>
          <w:szCs w:val="44"/>
        </w:rPr>
      </w:pPr>
      <w:r>
        <w:rPr>
          <w:rFonts w:hint="eastAsia" w:ascii="方正小标宋简体" w:hAnsi="微软雅黑" w:eastAsia="方正小标宋简体" w:cs="Tahoma"/>
          <w:bCs/>
          <w:color w:val="000000"/>
          <w:sz w:val="44"/>
          <w:szCs w:val="44"/>
        </w:rPr>
        <w:t>广西师范大学外专外教聘请流程</w:t>
      </w:r>
    </w:p>
    <w:p>
      <w:pPr>
        <w:widowControl/>
        <w:shd w:val="clear" w:color="auto" w:fill="FFFFFF"/>
        <w:spacing w:line="560" w:lineRule="exact"/>
        <w:jc w:val="center"/>
        <w:rPr>
          <w:rFonts w:hint="eastAsia" w:ascii="方正小标宋简体" w:hAnsi="微软雅黑" w:eastAsia="方正小标宋简体" w:cs="Tahoma"/>
          <w:bCs/>
          <w:color w:val="000000"/>
          <w:sz w:val="44"/>
          <w:szCs w:val="44"/>
        </w:rPr>
      </w:pPr>
      <w:r>
        <w:rPr>
          <w:rFonts w:hint="eastAsia" w:ascii="方正小标宋简体" w:hAnsi="微软雅黑" w:eastAsia="方正小标宋简体" w:cs="Tahoma"/>
          <w:bCs/>
          <w:color w:val="000000"/>
          <w:sz w:val="44"/>
          <w:szCs w:val="44"/>
        </w:rPr>
        <w:t>及工作指南</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一、聘请原则</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聘请外专外教旨在</w:t>
      </w:r>
      <w:r>
        <w:rPr>
          <w:rFonts w:hint="eastAsia" w:ascii="仿宋_GB2312" w:hAnsi="宋体" w:eastAsia="仿宋_GB2312" w:cs="仿宋"/>
          <w:color w:val="000000"/>
          <w:kern w:val="0"/>
          <w:sz w:val="32"/>
          <w:szCs w:val="32"/>
          <w:shd w:val="clear" w:color="auto" w:fill="FFFFFF"/>
          <w:lang w:eastAsia="zh-CN"/>
        </w:rPr>
        <w:t>引进国外优质的科研人才和教育资源，促进学科和专业水平的提升，实现通过开放加速发展，推进学校教育国际化进程。</w:t>
      </w:r>
      <w:r>
        <w:rPr>
          <w:rFonts w:hint="eastAsia" w:ascii="仿宋_GB2312" w:hAnsi="宋体" w:eastAsia="仿宋_GB2312" w:cs="仿宋"/>
          <w:color w:val="000000"/>
          <w:kern w:val="0"/>
          <w:sz w:val="32"/>
          <w:szCs w:val="32"/>
          <w:shd w:val="clear" w:color="auto" w:fill="FFFFFF"/>
        </w:rPr>
        <w:t>聘请外专外教根据“按需聘请、注重实效”的总体原则。</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二、聘请条件</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受聘来华工作的外专外教须具有胜任相应工作</w:t>
      </w:r>
      <w:r>
        <w:rPr>
          <w:rFonts w:hint="eastAsia" w:ascii="仿宋_GB2312" w:hAnsi="宋体" w:eastAsia="仿宋_GB2312" w:cs="仿宋"/>
          <w:color w:val="000000"/>
          <w:kern w:val="0"/>
          <w:sz w:val="32"/>
          <w:szCs w:val="32"/>
          <w:shd w:val="clear" w:color="auto" w:fill="FFFFFF"/>
          <w:lang w:eastAsia="zh-CN"/>
        </w:rPr>
        <w:t>岗位</w:t>
      </w:r>
      <w:r>
        <w:rPr>
          <w:rFonts w:hint="eastAsia" w:ascii="仿宋_GB2312" w:hAnsi="宋体" w:eastAsia="仿宋_GB2312" w:cs="仿宋"/>
          <w:color w:val="000000"/>
          <w:kern w:val="0"/>
          <w:sz w:val="32"/>
          <w:szCs w:val="32"/>
          <w:shd w:val="clear" w:color="auto" w:fill="FFFFFF"/>
        </w:rPr>
        <w:t>所要求的教育</w:t>
      </w:r>
      <w:r>
        <w:rPr>
          <w:rFonts w:hint="eastAsia" w:ascii="仿宋_GB2312" w:hAnsi="宋体" w:eastAsia="仿宋_GB2312" w:cs="仿宋"/>
          <w:color w:val="000000"/>
          <w:kern w:val="0"/>
          <w:sz w:val="32"/>
          <w:szCs w:val="32"/>
          <w:shd w:val="clear" w:color="auto" w:fill="FFFFFF"/>
          <w:lang w:eastAsia="zh-CN"/>
        </w:rPr>
        <w:t>资质</w:t>
      </w:r>
      <w:r>
        <w:rPr>
          <w:rFonts w:hint="eastAsia" w:ascii="仿宋_GB2312" w:hAnsi="宋体" w:eastAsia="仿宋_GB2312" w:cs="仿宋"/>
          <w:color w:val="000000"/>
          <w:kern w:val="0"/>
          <w:sz w:val="32"/>
          <w:szCs w:val="32"/>
          <w:shd w:val="clear" w:color="auto" w:fill="FFFFFF"/>
        </w:rPr>
        <w:t>和经验，特定岗位还需具备相应技能资质。</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三、聘请对象</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受聘的外专外教主要分为两类：长期外籍专家（在校工作时间90天及以上）；短期外国讲学专家（在校工作时间在90天以下）。</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四、聘请流程</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（一）长期外籍专家的聘请</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1.提交用人计划</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校内用人单位根据本单位教学和科研需求，于每年秋季学期按照通知要求向国际合作与交流处提交下一年度聘请外专外教用人计划和经费预算。</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2.提交聘用申请</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用人单位于每年10月底(拟春季学期聘用）或者4月底之前（拟秋季学期聘用）向国际合作与交流处提交聘用申请。</w:t>
      </w:r>
      <w:r>
        <w:rPr>
          <w:rFonts w:hint="eastAsia" w:ascii="仿宋_GB2312" w:hAnsi="宋体" w:eastAsia="仿宋_GB2312" w:cs="仿宋"/>
          <w:b/>
          <w:bCs/>
          <w:color w:val="000000"/>
          <w:kern w:val="0"/>
          <w:sz w:val="32"/>
          <w:szCs w:val="32"/>
          <w:shd w:val="clear" w:color="auto" w:fill="FFFFFF"/>
        </w:rPr>
        <w:t>如校内用人单位聘请外专外教数量超出学校预算名额，超出的外教经费由用人单位自行承担。</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3.人员初选</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校内用人单位应根据本单位的聘用计划，通过各种渠道主动开展聘请外专外教的联系工作。</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4.人员面试</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用人单位须自行联系外专外教，通过面试等方式，确定拟聘请对象，并于每年11月底或者5月底之前向国际合作与交流处提交办理外国人来华工作许可通知的材料。</w:t>
      </w:r>
    </w:p>
    <w:p>
      <w:pPr>
        <w:spacing w:line="360" w:lineRule="auto"/>
        <w:ind w:firstLine="643" w:firstLineChars="200"/>
        <w:rPr>
          <w:rFonts w:ascii="宋体" w:hAnsi="宋体" w:eastAsia="宋体"/>
          <w:sz w:val="32"/>
          <w:szCs w:val="32"/>
        </w:rPr>
      </w:pPr>
      <w:r>
        <w:rPr>
          <w:rFonts w:hint="eastAsia" w:ascii="宋体" w:hAnsi="宋体" w:eastAsia="宋体"/>
          <w:b/>
          <w:sz w:val="32"/>
          <w:szCs w:val="32"/>
        </w:rPr>
        <w:t>5.签证办理。</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每年12月或6月，国际合作与交流处按照规定为外专外教办理来校工作相关手续。</w:t>
      </w:r>
    </w:p>
    <w:p>
      <w:pPr>
        <w:spacing w:line="360" w:lineRule="auto"/>
        <w:ind w:firstLine="640" w:firstLineChars="200"/>
        <w:rPr>
          <w:rFonts w:ascii="宋体" w:hAnsi="宋体" w:eastAsia="宋体"/>
          <w:sz w:val="32"/>
          <w:szCs w:val="32"/>
        </w:rPr>
      </w:pPr>
      <w:r>
        <w:rPr>
          <w:rFonts w:hint="eastAsia" w:ascii="宋体" w:hAnsi="宋体" w:eastAsia="宋体"/>
          <w:sz w:val="32"/>
          <w:szCs w:val="32"/>
        </w:rPr>
        <w:t>6.</w:t>
      </w:r>
      <w:r>
        <w:rPr>
          <w:rFonts w:hint="eastAsia" w:ascii="宋体" w:hAnsi="宋体" w:eastAsia="宋体"/>
          <w:b/>
          <w:sz w:val="32"/>
          <w:szCs w:val="32"/>
        </w:rPr>
        <w:t>入境后手续</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外专外教抵校一周内，国际合作与交流处负责到有关单位办理“外国人来华工作许可证”等有效证件。</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7.合同签订</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外专外教抵校一周内，由国际合作与交流处与其签订聘用合同；若是通过人事处引进的外籍专家，由人事处与其签订合同。</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8.合同终止</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如因特殊原因须提前终止合同，应配合国际合作与交流处与当事人签署解聘合同并做好后续相关工作。</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（二）短期外专的聘请</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1.提交聘请计划</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用人单位根据本单位教学和科研需求，在每年秋季学期按照通知要求向国际合作与交流处提交下一年度聘请短期外专讲学、科研计划，并提交经费预算，由国际合作与交流处报财务处审核。</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2.提交聘请申请</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用人单位须在外专来校之前2个月提交聘请申请，并提交至国际合作与交流处，经分管校领导审批同意后，由国际合作与交流处负责办理短期外专来校手续。</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3.接待安排</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用人单位应配备外专外教联络员，以协助外专外教在桂的工作和生活。所聘请短期外专抵达日期确定后，用人单位应立即向国际合作与交流处报告其在校期间的接待安排（包括接送、食宿）。</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4.经费使用</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经校领导审批通过的预算内经费，由国际合作与交流处从外专外教专项经费开支，非预算内的经费，由用人单位自行解决。</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5.后期工作</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短期外专外教离校后一周内，校内用人单位应将该专家学术交流或科研合作的总结报告及图片材料送国际合作与交流处存档。</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（三）人事处引进的特聘外籍专家</w:t>
      </w:r>
    </w:p>
    <w:p>
      <w:pPr>
        <w:widowControl/>
        <w:shd w:val="clear" w:color="auto" w:fill="FFFFFF"/>
        <w:spacing w:line="560" w:lineRule="exact"/>
        <w:ind w:firstLine="640" w:firstLineChars="200"/>
        <w:rPr>
          <w:rFonts w:hint="eastAsia"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某些特聘外籍专家须由人事处负责引进，其聘请流程和经费来源有所不同，详情须咨询人事处相关部门。</w:t>
      </w:r>
    </w:p>
    <w:p>
      <w:pPr>
        <w:spacing w:line="360" w:lineRule="auto"/>
        <w:ind w:firstLine="643" w:firstLineChars="200"/>
        <w:rPr>
          <w:rFonts w:ascii="宋体" w:hAnsi="宋体" w:eastAsia="宋体"/>
          <w:sz w:val="32"/>
          <w:szCs w:val="32"/>
        </w:rPr>
      </w:pPr>
      <w:r>
        <w:rPr>
          <w:rFonts w:hint="eastAsia" w:ascii="宋体" w:hAnsi="宋体" w:eastAsia="宋体"/>
          <w:b/>
          <w:sz w:val="32"/>
          <w:szCs w:val="32"/>
        </w:rPr>
        <w:t>因以上为常规外专外教聘请流程，如</w:t>
      </w:r>
      <w:r>
        <w:rPr>
          <w:rFonts w:hint="eastAsia" w:ascii="宋体" w:hAnsi="宋体" w:eastAsia="宋体"/>
          <w:b/>
          <w:sz w:val="32"/>
          <w:szCs w:val="32"/>
          <w:lang w:eastAsia="zh-CN"/>
        </w:rPr>
        <w:t>有</w:t>
      </w:r>
      <w:r>
        <w:rPr>
          <w:rFonts w:hint="eastAsia" w:ascii="宋体" w:hAnsi="宋体" w:eastAsia="宋体"/>
          <w:b/>
          <w:sz w:val="32"/>
          <w:szCs w:val="32"/>
          <w:lang w:val="en-US" w:eastAsia="zh-CN"/>
        </w:rPr>
        <w:t>疑问</w:t>
      </w:r>
      <w:r>
        <w:rPr>
          <w:rFonts w:hint="eastAsia" w:ascii="宋体" w:hAnsi="宋体" w:eastAsia="宋体"/>
          <w:b/>
          <w:sz w:val="32"/>
          <w:szCs w:val="32"/>
        </w:rPr>
        <w:t>，可随时咨询国际合作与交流处外事管理科。</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五、信息咨询</w:t>
      </w:r>
      <w:bookmarkStart w:id="0" w:name="_GoBack"/>
      <w:bookmarkEnd w:id="0"/>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（一）专办员：</w:t>
      </w:r>
      <w:r>
        <w:rPr>
          <w:rFonts w:hint="eastAsia" w:ascii="宋体" w:hAnsi="宋体" w:eastAsia="宋体"/>
          <w:b/>
          <w:sz w:val="32"/>
          <w:szCs w:val="32"/>
          <w:lang w:val="en-US" w:eastAsia="zh-CN"/>
        </w:rPr>
        <w:t>石</w:t>
      </w:r>
      <w:r>
        <w:rPr>
          <w:rFonts w:hint="eastAsia" w:ascii="宋体" w:hAnsi="宋体" w:eastAsia="宋体"/>
          <w:b/>
          <w:sz w:val="32"/>
          <w:szCs w:val="32"/>
        </w:rPr>
        <w:t>老师</w:t>
      </w:r>
    </w:p>
    <w:p>
      <w:pPr>
        <w:spacing w:line="360" w:lineRule="auto"/>
        <w:ind w:firstLine="643" w:firstLineChars="200"/>
        <w:rPr>
          <w:rFonts w:ascii="宋体" w:hAnsi="宋体" w:eastAsia="宋体"/>
          <w:b/>
          <w:sz w:val="32"/>
          <w:szCs w:val="32"/>
        </w:rPr>
      </w:pPr>
      <w:r>
        <w:rPr>
          <w:rFonts w:hint="eastAsia" w:ascii="宋体" w:hAnsi="宋体" w:eastAsia="宋体"/>
          <w:b/>
          <w:sz w:val="32"/>
          <w:szCs w:val="32"/>
        </w:rPr>
        <w:t xml:space="preserve">（二）联系方式： </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1.电话:0773-5857127</w:t>
      </w:r>
    </w:p>
    <w:p>
      <w:pPr>
        <w:spacing w:line="360" w:lineRule="auto"/>
        <w:ind w:firstLine="640" w:firstLineChars="200"/>
        <w:rPr>
          <w:rFonts w:ascii="宋体" w:hAnsi="宋体" w:eastAsia="宋体"/>
          <w:sz w:val="32"/>
          <w:szCs w:val="32"/>
        </w:rPr>
      </w:pPr>
      <w:r>
        <w:rPr>
          <w:rFonts w:hint="eastAsia" w:ascii="宋体" w:hAnsi="宋体" w:eastAsia="宋体"/>
          <w:sz w:val="32"/>
          <w:szCs w:val="32"/>
        </w:rPr>
        <w:t>2.邮箱:</w:t>
      </w:r>
      <w:r>
        <w:rPr>
          <w:rFonts w:ascii="宋体" w:hAnsi="宋体" w:eastAsia="宋体" w:cs="宋体"/>
          <w:sz w:val="32"/>
          <w:szCs w:val="32"/>
        </w:rPr>
        <w:t>gxsdwsk@gxnu.edu.cn</w:t>
      </w:r>
    </w:p>
    <w:p>
      <w:pPr>
        <w:spacing w:line="360" w:lineRule="auto"/>
        <w:ind w:firstLine="640" w:firstLineChars="200"/>
        <w:rPr>
          <w:rFonts w:ascii="宋体" w:hAnsi="宋体" w:eastAsia="宋体"/>
          <w:sz w:val="32"/>
          <w:szCs w:val="32"/>
        </w:rPr>
      </w:pPr>
      <w:r>
        <w:rPr>
          <w:rFonts w:hint="eastAsia" w:ascii="宋体" w:hAnsi="宋体" w:eastAsia="宋体"/>
          <w:sz w:val="32"/>
          <w:szCs w:val="32"/>
        </w:rPr>
        <w:t>3.地址:育才校区国教中心2号楼215办公室</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694560C0-C8A6-48A5-9AFF-107DBD4FB75A}"/>
  </w:font>
  <w:font w:name="微软雅黑">
    <w:panose1 w:val="020B0503020204020204"/>
    <w:charset w:val="86"/>
    <w:family w:val="swiss"/>
    <w:pitch w:val="default"/>
    <w:sig w:usb0="80000287" w:usb1="2ACF3C50" w:usb2="00000016" w:usb3="00000000" w:csb0="0004001F" w:csb1="00000000"/>
    <w:embedRegular r:id="rId2" w:fontKey="{41195E45-B439-41EE-AA71-8F8AF61252D5}"/>
  </w:font>
  <w:font w:name="Tahoma">
    <w:panose1 w:val="020B0604030504040204"/>
    <w:charset w:val="00"/>
    <w:family w:val="swiss"/>
    <w:pitch w:val="default"/>
    <w:sig w:usb0="E1002EFF" w:usb1="C000605B" w:usb2="00000029" w:usb3="00000000" w:csb0="200101FF" w:csb1="20280000"/>
    <w:embedRegular r:id="rId3" w:fontKey="{8E1FF087-BBEA-495F-A898-234DE39B0833}"/>
  </w:font>
  <w:font w:name="仿宋_GB2312">
    <w:altName w:val="仿宋"/>
    <w:panose1 w:val="02010609030101010101"/>
    <w:charset w:val="86"/>
    <w:family w:val="modern"/>
    <w:pitch w:val="default"/>
    <w:sig w:usb0="00000000" w:usb1="00000000" w:usb2="00000000" w:usb3="00000000" w:csb0="00040000" w:csb1="00000000"/>
    <w:embedRegular r:id="rId4" w:fontKey="{410565F1-CB3D-48B4-AA2A-00D173C120EF}"/>
  </w:font>
  <w:font w:name="仿宋">
    <w:panose1 w:val="02010609060101010101"/>
    <w:charset w:val="86"/>
    <w:family w:val="modern"/>
    <w:pitch w:val="default"/>
    <w:sig w:usb0="800002BF" w:usb1="38CF7CFA" w:usb2="00000016" w:usb3="00000000" w:csb0="00040001" w:csb1="00000000"/>
    <w:embedRegular r:id="rId5" w:fontKey="{FCC025C4-16CF-4BCA-A5DA-6FE062F4672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zM2NmQ0MTFiOWIyZTk0YjlkYjYwN2IxNGQzYTgifQ=="/>
  </w:docVars>
  <w:rsids>
    <w:rsidRoot w:val="00000000"/>
    <w:rsid w:val="06146638"/>
    <w:rsid w:val="0ACD0824"/>
    <w:rsid w:val="50B94093"/>
    <w:rsid w:val="51251C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qFormat/>
    <w:uiPriority w:val="99"/>
    <w:rPr>
      <w:rFonts w:cs="Times New Roman"/>
      <w:color w:val="CC0000"/>
    </w:rPr>
  </w:style>
  <w:style w:type="character" w:styleId="8">
    <w:name w:val="Hyperlink"/>
    <w:qFormat/>
    <w:uiPriority w:val="99"/>
    <w:rPr>
      <w:rFonts w:cs="Times New Roman"/>
      <w:color w:val="0563C1"/>
      <w:u w:val="single"/>
    </w:rPr>
  </w:style>
  <w:style w:type="character" w:customStyle="1" w:styleId="9">
    <w:name w:val="页眉 Char"/>
    <w:link w:val="4"/>
    <w:qFormat/>
    <w:uiPriority w:val="99"/>
    <w:rPr>
      <w:rFonts w:cs="Times New Roman"/>
      <w:sz w:val="18"/>
      <w:szCs w:val="18"/>
    </w:rPr>
  </w:style>
  <w:style w:type="character" w:customStyle="1" w:styleId="10">
    <w:name w:val="页脚 Char"/>
    <w:link w:val="3"/>
    <w:qFormat/>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未处理的提及1"/>
    <w:qFormat/>
    <w:uiPriority w:val="99"/>
    <w:rPr>
      <w:rFonts w:cs="Times New Roman"/>
      <w:color w:val="808080"/>
      <w:shd w:val="clear" w:color="auto" w:fill="E6E6E6"/>
    </w:rPr>
  </w:style>
  <w:style w:type="character" w:customStyle="1" w:styleId="13">
    <w:name w:val="批注框文本 Char"/>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394A-5A5F-4C54-9F2C-1E3422884A8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1298</Words>
  <Characters>1352</Characters>
  <Paragraphs>47</Paragraphs>
  <TotalTime>13</TotalTime>
  <ScaleCrop>false</ScaleCrop>
  <LinksUpToDate>false</LinksUpToDate>
  <CharactersWithSpaces>1353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2021-11-02T02:21:00Z</dcterms:created>
  <dc:creator>李晓玲</dc:creator>
  <cp:lastModifiedBy>Logan大帝</cp:lastModifiedBy>
  <dcterms:modified xsi:type="dcterms:W3CDTF">2023-11-08T00:51:16Z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CB47D18D593240C493439C1D46FA53AF_13</vt:lpwstr>
  </property>
</Properties>
</file>