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kern w:val="0"/>
          <w:sz w:val="32"/>
          <w:szCs w:val="32"/>
        </w:rPr>
      </w:pPr>
      <w:r>
        <w:rPr>
          <w:rFonts w:ascii="Times New Roman" w:hAnsi="Times New Roman" w:eastAsia="黑体"/>
          <w:kern w:val="0"/>
          <w:sz w:val="32"/>
          <w:szCs w:val="32"/>
        </w:rPr>
        <w:t>附件1</w:t>
      </w:r>
    </w:p>
    <w:p>
      <w:pPr>
        <w:spacing w:line="560" w:lineRule="exact"/>
        <w:rPr>
          <w:rFonts w:ascii="Times New Roman" w:hAnsi="Times New Roman" w:eastAsia="黑体"/>
          <w:kern w:val="0"/>
          <w:sz w:val="32"/>
          <w:szCs w:val="32"/>
        </w:rPr>
      </w:pPr>
    </w:p>
    <w:p>
      <w:pPr>
        <w:widowControl/>
        <w:shd w:val="clear" w:color="auto" w:fill="FFFFFF"/>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广西壮族自治区科普教育基地</w:t>
      </w:r>
    </w:p>
    <w:p>
      <w:pPr>
        <w:widowControl/>
        <w:shd w:val="clear" w:color="auto" w:fill="FFFFFF"/>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认定管理办法</w:t>
      </w:r>
    </w:p>
    <w:p>
      <w:pPr>
        <w:spacing w:line="540" w:lineRule="exact"/>
        <w:ind w:firstLine="640" w:firstLineChars="200"/>
        <w:rPr>
          <w:rFonts w:ascii="仿宋_GB2312" w:eastAsia="仿宋_GB2312"/>
          <w:sz w:val="32"/>
          <w:szCs w:val="32"/>
        </w:rPr>
      </w:pPr>
    </w:p>
    <w:p>
      <w:pPr>
        <w:spacing w:line="540" w:lineRule="exact"/>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第一条</w:t>
      </w:r>
      <w:r>
        <w:rPr>
          <w:rFonts w:hint="eastAsia" w:ascii="Times New Roman" w:hAnsi="Times New Roman" w:eastAsia="仿宋_GB2312"/>
          <w:b/>
          <w:bCs/>
          <w:sz w:val="32"/>
          <w:szCs w:val="32"/>
        </w:rPr>
        <w:t xml:space="preserve">  </w:t>
      </w:r>
      <w:r>
        <w:rPr>
          <w:rFonts w:ascii="Times New Roman" w:hAnsi="Times New Roman" w:eastAsia="仿宋_GB2312"/>
          <w:sz w:val="32"/>
          <w:szCs w:val="32"/>
        </w:rPr>
        <w:t>为贯彻落实《全民科学素质行动规划纲要（2021</w:t>
      </w:r>
      <w:r>
        <w:rPr>
          <w:rFonts w:hint="eastAsia" w:ascii="仿宋_GB2312" w:hAnsi="Times New Roman" w:eastAsia="仿宋_GB2312"/>
          <w:sz w:val="32"/>
          <w:szCs w:val="32"/>
        </w:rPr>
        <w:t>-</w:t>
      </w:r>
      <w:r>
        <w:rPr>
          <w:rFonts w:ascii="Times New Roman" w:hAnsi="Times New Roman" w:eastAsia="仿宋_GB2312"/>
          <w:sz w:val="32"/>
          <w:szCs w:val="32"/>
        </w:rPr>
        <w:t>2035年）》《广西全民科学素质行动规划纲要（2021</w:t>
      </w:r>
      <w:r>
        <w:rPr>
          <w:rFonts w:hint="eastAsia" w:ascii="仿宋_GB2312" w:hAnsi="Times New Roman" w:eastAsia="仿宋_GB2312"/>
          <w:sz w:val="32"/>
          <w:szCs w:val="32"/>
        </w:rPr>
        <w:t>-</w:t>
      </w:r>
      <w:r>
        <w:rPr>
          <w:rFonts w:ascii="Times New Roman" w:hAnsi="Times New Roman" w:eastAsia="仿宋_GB2312"/>
          <w:sz w:val="32"/>
          <w:szCs w:val="32"/>
        </w:rPr>
        <w:t>2035年）》，鼓励社会多元主体广泛参与、提升科普公共服务质量，进一步加强科普阵地和科普能力建设，推动我区科普事业发展，结合我区实际，制定本办法。</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自治区科普教育基地主要是指由科技、教育、文化、卫生、农业、安全、自然资源、旅游等领域机构兴办，面向社会和公众开放，具有科普和教育功能的示范性场所。包括以下六类</w:t>
      </w:r>
      <w:r>
        <w:rPr>
          <w:rFonts w:hint="eastAsia"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（一）科技场馆类科普教育基地，是指专门建设用于面向社会和公众开展科学技术普及活动、科技文化教育与传播的公共场所，包括但不限于：科技馆、自然博物馆、专业领域科普场馆、青少年科技场馆。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教育科研与重大工程类科普教育基地，是指依托科技资源、科技成果面向社会和公众提供科普服务的教育、科研机构、大科学装置、重大工程以及医疗机构的场所和设施，包括但不限于：教育、科研机构等内设的科普场馆、实验室、工程中心、科学观测台（站）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仿宋_GB2312" w:hAnsi="Times New Roman" w:eastAsia="仿宋_GB2312"/>
          <w:sz w:val="32"/>
          <w:szCs w:val="32"/>
        </w:rPr>
        <w:t>“三农”类</w:t>
      </w:r>
      <w:r>
        <w:rPr>
          <w:rFonts w:ascii="Times New Roman" w:hAnsi="Times New Roman" w:eastAsia="仿宋_GB2312"/>
          <w:sz w:val="32"/>
          <w:szCs w:val="32"/>
        </w:rPr>
        <w:t>科普教育基地，是指依托先进农业技术和成果、农业教育科研设施、农业试验示范基地等服务农业、农村发展、提高农民科学素质的科普场所，包括但不限于：各类农业种养殖繁育基地、综合试验示范基地、农业创业创新基地、现代农业科技产业园、农技培训基地、农业观光体验园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企业类科普教育基地，是指企业依托科技成果、研发资源、生产设施、产品等面向社会和公众提供科普服务的场所，包括但不限于：产业园区、科技园区、具有科普功能的企业展厅、研发设施、生产制造设施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自然资源类科普教育基地，是指利用动植物、生态、地质地貌等自然资源面向社会和公众提供科普服务的园区和场所，包括但不限于：国家公园、自然保护区、动物园（海洋公园）、植物园、主题公园、森林、湿地、地质公园、自然遗产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（六）其他类科普教育基地，是指利用人文、历史、艺术等资源面向社会和公众提供科普服务的公共场所，包括但不限于：文博展馆、图书馆、美术馆、纪念馆、文化馆、书院、历史文化遗产等。</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第三条 </w:t>
      </w:r>
      <w:r>
        <w:rPr>
          <w:rFonts w:ascii="Times New Roman" w:hAnsi="Times New Roman" w:eastAsia="仿宋_GB2312"/>
          <w:sz w:val="32"/>
          <w:szCs w:val="32"/>
        </w:rPr>
        <w:t xml:space="preserve"> 自治区科普教育基地享有开展科普活动的权利，享受国家及我区给予公益性科普事业的相关优惠政策。</w:t>
      </w:r>
    </w:p>
    <w:p>
      <w:pPr>
        <w:spacing w:line="540" w:lineRule="exact"/>
        <w:ind w:firstLine="640" w:firstLineChars="200"/>
        <w:rPr>
          <w:rFonts w:ascii="Times New Roman" w:hAnsi="Times New Roman" w:eastAsia="仿宋_GB2312"/>
          <w:sz w:val="32"/>
          <w:szCs w:val="32"/>
        </w:rPr>
      </w:pPr>
    </w:p>
    <w:p>
      <w:pPr>
        <w:spacing w:line="540" w:lineRule="exact"/>
        <w:jc w:val="center"/>
        <w:rPr>
          <w:rFonts w:ascii="Times New Roman" w:hAnsi="Times New Roman" w:eastAsia="黑体"/>
          <w:sz w:val="32"/>
          <w:szCs w:val="32"/>
        </w:rPr>
      </w:pPr>
      <w:r>
        <w:rPr>
          <w:rFonts w:ascii="Times New Roman" w:hAnsi="Times New Roman" w:eastAsia="黑体"/>
          <w:sz w:val="32"/>
          <w:szCs w:val="32"/>
        </w:rPr>
        <w:t>第二章  认定</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自治区科普教育基地认定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第五条  </w:t>
      </w:r>
      <w:r>
        <w:rPr>
          <w:rFonts w:ascii="Times New Roman" w:hAnsi="Times New Roman" w:eastAsia="仿宋_GB2312"/>
          <w:sz w:val="32"/>
          <w:szCs w:val="32"/>
        </w:rPr>
        <w:t>为社会和公众提供科普服务的各类法人单位，均可自愿按照《广西壮族自治区科普教育基地认定申请条件》（以下简称《认定申请条件》）开展申报工作，适时申请自治区科普教育基地认定。</w:t>
      </w:r>
    </w:p>
    <w:p>
      <w:pPr>
        <w:spacing w:line="540" w:lineRule="exact"/>
        <w:ind w:firstLine="627" w:firstLineChars="200"/>
        <w:rPr>
          <w:rFonts w:ascii="Times New Roman" w:hAnsi="Times New Roman" w:eastAsia="仿宋_GB2312"/>
          <w:spacing w:val="-4"/>
          <w:sz w:val="32"/>
          <w:szCs w:val="32"/>
        </w:rPr>
      </w:pPr>
      <w:r>
        <w:rPr>
          <w:rFonts w:ascii="Times New Roman" w:hAnsi="Times New Roman" w:eastAsia="仿宋_GB2312"/>
          <w:b/>
          <w:bCs/>
          <w:spacing w:val="-4"/>
          <w:sz w:val="32"/>
          <w:szCs w:val="32"/>
        </w:rPr>
        <w:t xml:space="preserve">第六条  </w:t>
      </w:r>
      <w:r>
        <w:rPr>
          <w:rFonts w:ascii="Times New Roman" w:hAnsi="Times New Roman" w:eastAsia="仿宋_GB2312"/>
          <w:spacing w:val="-4"/>
          <w:sz w:val="32"/>
          <w:szCs w:val="32"/>
        </w:rPr>
        <w:t>自治区科普教育基地认定由自治区全民科学素质纲要领导小组成员单位、设区市科协、自治区级学会（协会、研究会）、企业科协、高校科协五类单位负责推荐。推荐单位负责组织动员、指导具备一定条件的机构开展自治区科普教育基地申报工作，按照《认定申请条件》推荐符合条件的机构进行认定申请。</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第七条  </w:t>
      </w:r>
      <w:r>
        <w:rPr>
          <w:rFonts w:ascii="Times New Roman" w:hAnsi="Times New Roman" w:eastAsia="仿宋_GB2312"/>
          <w:sz w:val="32"/>
          <w:szCs w:val="32"/>
        </w:rPr>
        <w:t>申请认定程序。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推荐。申请自治区科普教育基地认定的机构可任选第六条规定的五类推荐单位中的一家提交申请，经推荐单位审核推荐后可参评自治区科普教育基地。每个推荐单位按照推荐名额和《认定申请条件》对申请单位进行遴选，确定推荐顺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（二）初评。自治区科协依据《认定申请条件》对被推荐的申请单位（机构）情况进行初评，对申请单位（机构）实地抽检。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（三）终评。自治区科协成立评审专家组，按照《认定申请条件》评议确定自治区科普教育基地认定建议名单。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（四）公示和认定命名。自治区科协公示建议名单，公示结果不影响认定的，由自治区科协予以认定命</w:t>
      </w:r>
      <w:r>
        <w:rPr>
          <w:rFonts w:hint="eastAsia" w:ascii="仿宋_GB2312" w:hAnsi="Times New Roman" w:eastAsia="仿宋_GB2312"/>
          <w:sz w:val="32"/>
          <w:szCs w:val="32"/>
        </w:rPr>
        <w:t>名“广西壮族自治区科普教育基地”，颁</w:t>
      </w:r>
      <w:r>
        <w:rPr>
          <w:rFonts w:ascii="Times New Roman" w:hAnsi="Times New Roman" w:eastAsia="仿宋_GB2312"/>
          <w:sz w:val="32"/>
          <w:szCs w:val="32"/>
        </w:rPr>
        <w:t>发牌匾。自治区科普教育基地认定有效期为五年，从认定命名年份起截止至第五年份。</w:t>
      </w:r>
    </w:p>
    <w:p>
      <w:pPr>
        <w:spacing w:line="540" w:lineRule="exact"/>
        <w:ind w:firstLine="640" w:firstLineChars="200"/>
        <w:rPr>
          <w:rFonts w:ascii="Times New Roman" w:hAnsi="Times New Roman" w:eastAsia="仿宋_GB2312"/>
          <w:sz w:val="32"/>
          <w:szCs w:val="32"/>
        </w:rPr>
      </w:pPr>
    </w:p>
    <w:p>
      <w:pPr>
        <w:spacing w:line="540" w:lineRule="exact"/>
        <w:jc w:val="center"/>
        <w:rPr>
          <w:rFonts w:ascii="Times New Roman" w:hAnsi="Times New Roman" w:eastAsia="黑体"/>
          <w:sz w:val="32"/>
          <w:szCs w:val="32"/>
        </w:rPr>
      </w:pPr>
      <w:r>
        <w:rPr>
          <w:rFonts w:ascii="Times New Roman" w:hAnsi="Times New Roman" w:eastAsia="黑体"/>
          <w:sz w:val="32"/>
          <w:szCs w:val="32"/>
        </w:rPr>
        <w:t>第三章  管理与服务</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第八条 </w:t>
      </w:r>
      <w:r>
        <w:rPr>
          <w:rFonts w:ascii="Times New Roman" w:hAnsi="Times New Roman" w:eastAsia="仿宋_GB2312"/>
          <w:sz w:val="32"/>
          <w:szCs w:val="32"/>
        </w:rPr>
        <w:t xml:space="preserve"> 自治区科协是自治区科普教育基地的认定管理和业务指导部门，自治区科普教育基地推荐单位承担对自治区科普教育基地日常工作指导职责。自治区科普教育基地应自觉接受推荐单位和自治区科协工作指导与考核，主动及时报告科普自评报告、工作总结等资料。</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第九条 </w:t>
      </w:r>
      <w:r>
        <w:rPr>
          <w:rFonts w:ascii="Times New Roman" w:hAnsi="Times New Roman" w:eastAsia="仿宋_GB2312"/>
          <w:sz w:val="32"/>
          <w:szCs w:val="32"/>
        </w:rPr>
        <w:t xml:space="preserve"> 各推荐单位要为自治区科普教育基地开展科普工作创造必要条件，提供必要支持，不断提升自治区科普教育基地的发展建设水平和公共服务能力。鼓励推荐单位将科普教育基地工作纳入系统内业绩认定范围，对科普业绩突出、表现优异的单位和个人给予宣传推介。</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（一）自治区科协组织科普教育基地有关专兼职科普人员参加举办各类交流培训，提升业务能力和管理水平。</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（二）支持科普教育基地跨界跨地域联合开展主题行动（活动），整合资源，打造具有号召力、影响力和示范性的科普教育基地活动品牌。 </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第十条  </w:t>
      </w:r>
      <w:r>
        <w:rPr>
          <w:rFonts w:ascii="Times New Roman" w:hAnsi="Times New Roman" w:eastAsia="仿宋_GB2312"/>
          <w:sz w:val="32"/>
          <w:szCs w:val="32"/>
        </w:rPr>
        <w:t>加强自治区科普教育基地绩效管理。自治区科普教育基地负责开展年度科普绩效自评，自评报告须报送自治区科协，并在基地单位网站（或新媒体平台）向社会公开。自治区科协负责组织年度自评报告抽样检查和定期调研评估等工作，检查评估结果作为终期考核的重要依据之一。</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第十一条  </w:t>
      </w:r>
      <w:r>
        <w:rPr>
          <w:rFonts w:ascii="Times New Roman" w:hAnsi="Times New Roman" w:eastAsia="仿宋_GB2312"/>
          <w:sz w:val="32"/>
          <w:szCs w:val="32"/>
        </w:rPr>
        <w:t>自治区科协组织对自治区科普教育基地开展终期考核，终期考核结果</w:t>
      </w:r>
      <w:r>
        <w:rPr>
          <w:rFonts w:hint="eastAsia" w:ascii="仿宋_GB2312" w:hAnsi="Times New Roman" w:eastAsia="仿宋_GB2312"/>
          <w:sz w:val="32"/>
          <w:szCs w:val="32"/>
        </w:rPr>
        <w:t>分为“优秀”、“合格”、“不合格”三个等级，“优秀”比例原则上不</w:t>
      </w:r>
      <w:r>
        <w:rPr>
          <w:rFonts w:ascii="Times New Roman" w:hAnsi="Times New Roman" w:eastAsia="仿宋_GB2312"/>
          <w:sz w:val="32"/>
          <w:szCs w:val="32"/>
        </w:rPr>
        <w:t>超过20%。终期考核结果</w:t>
      </w:r>
      <w:r>
        <w:rPr>
          <w:rFonts w:hint="eastAsia" w:ascii="仿宋_GB2312" w:hAnsi="Times New Roman" w:eastAsia="仿宋_GB2312"/>
          <w:sz w:val="32"/>
          <w:szCs w:val="32"/>
        </w:rPr>
        <w:t>为“优秀”的</w:t>
      </w:r>
      <w:r>
        <w:rPr>
          <w:rFonts w:ascii="Times New Roman" w:hAnsi="Times New Roman" w:eastAsia="仿宋_GB2312"/>
          <w:sz w:val="32"/>
          <w:szCs w:val="32"/>
        </w:rPr>
        <w:t>基地，经相关程序可直接认定为下一批次自治区科普教育基地，终期考核结</w:t>
      </w:r>
      <w:r>
        <w:rPr>
          <w:rFonts w:hint="eastAsia" w:ascii="仿宋_GB2312" w:hAnsi="Times New Roman" w:eastAsia="仿宋_GB2312"/>
          <w:sz w:val="32"/>
          <w:szCs w:val="32"/>
        </w:rPr>
        <w:t>果为“合格”的</w:t>
      </w:r>
      <w:r>
        <w:rPr>
          <w:rFonts w:ascii="Times New Roman" w:hAnsi="Times New Roman" w:eastAsia="仿宋_GB2312"/>
          <w:sz w:val="32"/>
          <w:szCs w:val="32"/>
        </w:rPr>
        <w:t>基地，可直接进入下一批次自治区科普教育基地申请认定的终评程序，终期考核结</w:t>
      </w:r>
      <w:r>
        <w:rPr>
          <w:rFonts w:hint="eastAsia" w:ascii="仿宋_GB2312" w:hAnsi="Times New Roman" w:eastAsia="仿宋_GB2312"/>
          <w:sz w:val="32"/>
          <w:szCs w:val="32"/>
        </w:rPr>
        <w:t>果为“不合格”</w:t>
      </w:r>
      <w:r>
        <w:rPr>
          <w:rFonts w:ascii="Times New Roman" w:hAnsi="Times New Roman" w:eastAsia="仿宋_GB2312"/>
          <w:sz w:val="32"/>
          <w:szCs w:val="32"/>
        </w:rPr>
        <w:t>的基地，不得参与下一批次自治区科普教育基地认定申请。</w:t>
      </w:r>
    </w:p>
    <w:p>
      <w:pPr>
        <w:spacing w:line="54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第十二条 </w:t>
      </w:r>
      <w:r>
        <w:rPr>
          <w:rFonts w:ascii="Times New Roman" w:hAnsi="Times New Roman" w:eastAsia="仿宋_GB2312"/>
          <w:sz w:val="32"/>
          <w:szCs w:val="32"/>
        </w:rPr>
        <w:t xml:space="preserve"> 自治区科普教育基地有下列情况之一的，自治区科协可在有效期内撤销</w:t>
      </w:r>
      <w:r>
        <w:rPr>
          <w:rFonts w:hint="eastAsia" w:ascii="仿宋_GB2312" w:hAnsi="Times New Roman" w:eastAsia="仿宋_GB2312"/>
          <w:sz w:val="32"/>
          <w:szCs w:val="32"/>
        </w:rPr>
        <w:t>其“自治区科普教育基地”认定命</w:t>
      </w:r>
      <w:r>
        <w:rPr>
          <w:rFonts w:ascii="Times New Roman" w:hAnsi="Times New Roman" w:eastAsia="仿宋_GB2312"/>
          <w:sz w:val="32"/>
          <w:szCs w:val="32"/>
        </w:rPr>
        <w:t>名：</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（一）单位（机构）严重违法违纪、严重损害公众利益或造成严重社会不良影响；</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（二）宣传邪教、封建迷信，从事反科学、伪科学活动；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（三）不具备自治区科普教育基地创建、认定基本条件或不能履行自治区科普教育基地职责；</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（四）不参加终期考核或连续两年不参加科普绩效自评。</w:t>
      </w:r>
    </w:p>
    <w:p>
      <w:pPr>
        <w:spacing w:line="540" w:lineRule="exact"/>
        <w:ind w:firstLine="640" w:firstLineChars="200"/>
        <w:rPr>
          <w:rFonts w:ascii="Times New Roman" w:hAnsi="Times New Roman" w:eastAsia="仿宋_GB2312"/>
          <w:sz w:val="32"/>
          <w:szCs w:val="32"/>
        </w:rPr>
      </w:pPr>
    </w:p>
    <w:p>
      <w:pPr>
        <w:spacing w:line="540" w:lineRule="exact"/>
        <w:jc w:val="center"/>
        <w:rPr>
          <w:rFonts w:ascii="Times New Roman" w:hAnsi="Times New Roman" w:eastAsia="黑体"/>
          <w:sz w:val="32"/>
          <w:szCs w:val="32"/>
        </w:rPr>
      </w:pPr>
      <w:r>
        <w:rPr>
          <w:rFonts w:ascii="Times New Roman" w:hAnsi="Times New Roman" w:eastAsia="黑体"/>
          <w:sz w:val="32"/>
          <w:szCs w:val="32"/>
        </w:rPr>
        <w:t>第四章  附  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第十三条  本办法由自治区科协负责解释，自</w:t>
      </w:r>
      <w:r>
        <w:rPr>
          <w:rFonts w:ascii="Times New Roman" w:hAnsi="Times New Roman" w:eastAsia="仿宋_GB2312"/>
          <w:kern w:val="0"/>
          <w:sz w:val="32"/>
          <w:szCs w:val="32"/>
          <w:lang w:bidi="ar"/>
        </w:rPr>
        <w:t>2022年5月29日</w:t>
      </w:r>
      <w:r>
        <w:rPr>
          <w:rFonts w:ascii="Times New Roman" w:hAnsi="Times New Roman" w:eastAsia="仿宋_GB2312"/>
          <w:sz w:val="32"/>
          <w:szCs w:val="32"/>
        </w:rPr>
        <w:t>起施行。原《自治区科普教育基地认定办法（试行）》（桂科协普发〔2013〕19号）同时废止。</w:t>
      </w:r>
    </w:p>
    <w:p>
      <w:pPr>
        <w:spacing w:line="540" w:lineRule="exact"/>
        <w:ind w:firstLine="640" w:firstLineChars="200"/>
        <w:rPr>
          <w:rFonts w:ascii="Times New Roman" w:hAnsi="Times New Roman" w:eastAsia="仿宋_GB2312"/>
          <w:sz w:val="32"/>
          <w:szCs w:val="32"/>
        </w:rPr>
      </w:pPr>
    </w:p>
    <w:p>
      <w:pPr>
        <w:spacing w:line="540" w:lineRule="exact"/>
        <w:ind w:firstLine="640" w:firstLineChars="200"/>
        <w:rPr>
          <w:rFonts w:ascii="Times New Roman" w:hAnsi="Times New Roman" w:eastAsia="仿宋_GB2312"/>
          <w:sz w:val="32"/>
          <w:szCs w:val="32"/>
        </w:rPr>
      </w:pPr>
    </w:p>
    <w:p>
      <w:pPr>
        <w:snapToGrid w:val="0"/>
        <w:spacing w:line="20" w:lineRule="exact"/>
        <w:rPr>
          <w:rFonts w:ascii="Calibri" w:hAnsi="Calibri" w:eastAsia="宋体" w:cs="宋体"/>
          <w:szCs w:val="24"/>
        </w:rPr>
      </w:pPr>
      <w:bookmarkStart w:id="0" w:name="_GoBack"/>
      <w:bookmarkEnd w:id="0"/>
    </w:p>
    <w:sectPr>
      <w:footerReference r:id="rId3" w:type="default"/>
      <w:footerReference r:id="rId4"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026250"/>
    </w:sdtPr>
    <w:sdtEndPr>
      <w:rPr>
        <w:rFonts w:ascii="宋体" w:hAnsi="宋体" w:eastAsia="宋体"/>
        <w:sz w:val="28"/>
        <w:szCs w:val="28"/>
      </w:rPr>
    </w:sdtEndPr>
    <w:sdtContent>
      <w:p>
        <w:pPr>
          <w:pStyle w:val="5"/>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MWZlNTA1YzQ5NjQ2MWVkYjFkMjI4OTFkMDc4NDQifQ=="/>
  </w:docVars>
  <w:rsids>
    <w:rsidRoot w:val="008D228F"/>
    <w:rsid w:val="00055C38"/>
    <w:rsid w:val="00080572"/>
    <w:rsid w:val="00080BC2"/>
    <w:rsid w:val="000E0B85"/>
    <w:rsid w:val="001154F7"/>
    <w:rsid w:val="00142F9B"/>
    <w:rsid w:val="00142FF5"/>
    <w:rsid w:val="001636B4"/>
    <w:rsid w:val="001A644D"/>
    <w:rsid w:val="001E63C4"/>
    <w:rsid w:val="00290B0C"/>
    <w:rsid w:val="003159DF"/>
    <w:rsid w:val="003329F1"/>
    <w:rsid w:val="00372F63"/>
    <w:rsid w:val="003949A0"/>
    <w:rsid w:val="003A44A2"/>
    <w:rsid w:val="003D7B11"/>
    <w:rsid w:val="003D7F3D"/>
    <w:rsid w:val="00465ACC"/>
    <w:rsid w:val="004B093D"/>
    <w:rsid w:val="005B01CF"/>
    <w:rsid w:val="005E417B"/>
    <w:rsid w:val="00603B2A"/>
    <w:rsid w:val="00637F99"/>
    <w:rsid w:val="0064785F"/>
    <w:rsid w:val="006629F5"/>
    <w:rsid w:val="006879DC"/>
    <w:rsid w:val="006C39F9"/>
    <w:rsid w:val="007A276F"/>
    <w:rsid w:val="00840F7D"/>
    <w:rsid w:val="008D228F"/>
    <w:rsid w:val="00986EEB"/>
    <w:rsid w:val="009A019C"/>
    <w:rsid w:val="00A06B79"/>
    <w:rsid w:val="00A47958"/>
    <w:rsid w:val="00A52226"/>
    <w:rsid w:val="00AA219C"/>
    <w:rsid w:val="00AB081B"/>
    <w:rsid w:val="00AC0C9B"/>
    <w:rsid w:val="00AC748A"/>
    <w:rsid w:val="00B24B65"/>
    <w:rsid w:val="00BB6DD9"/>
    <w:rsid w:val="00BD1232"/>
    <w:rsid w:val="00BD75C3"/>
    <w:rsid w:val="00C579D1"/>
    <w:rsid w:val="00D234AB"/>
    <w:rsid w:val="00D350C9"/>
    <w:rsid w:val="00D8202B"/>
    <w:rsid w:val="00DC1FBD"/>
    <w:rsid w:val="00E4176F"/>
    <w:rsid w:val="00E83087"/>
    <w:rsid w:val="00EA2792"/>
    <w:rsid w:val="00EC702A"/>
    <w:rsid w:val="00EE68A3"/>
    <w:rsid w:val="00F07976"/>
    <w:rsid w:val="00F07FB8"/>
    <w:rsid w:val="00F674AD"/>
    <w:rsid w:val="00FD06E4"/>
    <w:rsid w:val="00FE515E"/>
    <w:rsid w:val="03385109"/>
    <w:rsid w:val="03EA7F7B"/>
    <w:rsid w:val="049065E1"/>
    <w:rsid w:val="05EC14C1"/>
    <w:rsid w:val="07841E72"/>
    <w:rsid w:val="07CD6B23"/>
    <w:rsid w:val="08A84D12"/>
    <w:rsid w:val="09303CE4"/>
    <w:rsid w:val="0B9D5EA2"/>
    <w:rsid w:val="12833F95"/>
    <w:rsid w:val="14110FEA"/>
    <w:rsid w:val="147765F9"/>
    <w:rsid w:val="149028B9"/>
    <w:rsid w:val="14FB7505"/>
    <w:rsid w:val="15D01C19"/>
    <w:rsid w:val="17FFCB3C"/>
    <w:rsid w:val="183B2A42"/>
    <w:rsid w:val="19805CDA"/>
    <w:rsid w:val="1A432168"/>
    <w:rsid w:val="1AE24BF6"/>
    <w:rsid w:val="1BC83336"/>
    <w:rsid w:val="1D2C17BA"/>
    <w:rsid w:val="1E5E006F"/>
    <w:rsid w:val="1FFF6271"/>
    <w:rsid w:val="20241C5F"/>
    <w:rsid w:val="20387083"/>
    <w:rsid w:val="205F14AE"/>
    <w:rsid w:val="20C22473"/>
    <w:rsid w:val="21FE54B9"/>
    <w:rsid w:val="234168F5"/>
    <w:rsid w:val="239F28C8"/>
    <w:rsid w:val="250B1581"/>
    <w:rsid w:val="250B5E47"/>
    <w:rsid w:val="25946F15"/>
    <w:rsid w:val="25B1003B"/>
    <w:rsid w:val="266803B3"/>
    <w:rsid w:val="28214573"/>
    <w:rsid w:val="29586079"/>
    <w:rsid w:val="29B96486"/>
    <w:rsid w:val="2BDFAA5E"/>
    <w:rsid w:val="2DD66A61"/>
    <w:rsid w:val="2F811EC6"/>
    <w:rsid w:val="31522734"/>
    <w:rsid w:val="35EBA3C1"/>
    <w:rsid w:val="369EC32B"/>
    <w:rsid w:val="36FE4695"/>
    <w:rsid w:val="392159AE"/>
    <w:rsid w:val="39FB3A65"/>
    <w:rsid w:val="3ADB2D26"/>
    <w:rsid w:val="3B8B2644"/>
    <w:rsid w:val="3C9A4F04"/>
    <w:rsid w:val="3CE519BF"/>
    <w:rsid w:val="3E095CD8"/>
    <w:rsid w:val="3EA60D55"/>
    <w:rsid w:val="3F126EF0"/>
    <w:rsid w:val="3FC842F5"/>
    <w:rsid w:val="3FE511E0"/>
    <w:rsid w:val="3FFF397B"/>
    <w:rsid w:val="402617D2"/>
    <w:rsid w:val="406C4C25"/>
    <w:rsid w:val="40E933F2"/>
    <w:rsid w:val="43191679"/>
    <w:rsid w:val="43EF35A7"/>
    <w:rsid w:val="44713B3C"/>
    <w:rsid w:val="45F2682F"/>
    <w:rsid w:val="48CF1809"/>
    <w:rsid w:val="48FFC7A5"/>
    <w:rsid w:val="4D5B3F10"/>
    <w:rsid w:val="4E8FC9A3"/>
    <w:rsid w:val="4EA130E7"/>
    <w:rsid w:val="4EAE043B"/>
    <w:rsid w:val="4EEF1538"/>
    <w:rsid w:val="4FAA5C2E"/>
    <w:rsid w:val="50DF2264"/>
    <w:rsid w:val="51081C8B"/>
    <w:rsid w:val="511C776A"/>
    <w:rsid w:val="519357C4"/>
    <w:rsid w:val="51BA72DF"/>
    <w:rsid w:val="542E14F5"/>
    <w:rsid w:val="54FEE9CB"/>
    <w:rsid w:val="56D83F29"/>
    <w:rsid w:val="57A92075"/>
    <w:rsid w:val="57C06AC6"/>
    <w:rsid w:val="57DC4A05"/>
    <w:rsid w:val="57E8D4C7"/>
    <w:rsid w:val="5A0B16B5"/>
    <w:rsid w:val="5A304CA5"/>
    <w:rsid w:val="5A893D14"/>
    <w:rsid w:val="5B4C2ED6"/>
    <w:rsid w:val="5CEE6F17"/>
    <w:rsid w:val="5E6FBA9D"/>
    <w:rsid w:val="5F361C28"/>
    <w:rsid w:val="5F4A4566"/>
    <w:rsid w:val="5FDB4CBD"/>
    <w:rsid w:val="60666181"/>
    <w:rsid w:val="608F2A87"/>
    <w:rsid w:val="60BA5D42"/>
    <w:rsid w:val="633F3820"/>
    <w:rsid w:val="66DA771C"/>
    <w:rsid w:val="672D5FF7"/>
    <w:rsid w:val="679F6099"/>
    <w:rsid w:val="67A757BE"/>
    <w:rsid w:val="68F90149"/>
    <w:rsid w:val="6A2B58F0"/>
    <w:rsid w:val="6B393B78"/>
    <w:rsid w:val="6CFFF1A2"/>
    <w:rsid w:val="6CFFF7B4"/>
    <w:rsid w:val="6F7FF25A"/>
    <w:rsid w:val="6FE7813B"/>
    <w:rsid w:val="70992FDE"/>
    <w:rsid w:val="73B0180B"/>
    <w:rsid w:val="74BE4921"/>
    <w:rsid w:val="75FF77E1"/>
    <w:rsid w:val="762F6D64"/>
    <w:rsid w:val="76550457"/>
    <w:rsid w:val="766F54AE"/>
    <w:rsid w:val="768E6925"/>
    <w:rsid w:val="76DA3D7C"/>
    <w:rsid w:val="76FB50C4"/>
    <w:rsid w:val="794437D8"/>
    <w:rsid w:val="79D610B8"/>
    <w:rsid w:val="7A260C82"/>
    <w:rsid w:val="7B1A2852"/>
    <w:rsid w:val="7B22375A"/>
    <w:rsid w:val="7B30CE00"/>
    <w:rsid w:val="7B392E0B"/>
    <w:rsid w:val="7D6D5686"/>
    <w:rsid w:val="7DF3D10B"/>
    <w:rsid w:val="7DFFA2A1"/>
    <w:rsid w:val="7DFFDA89"/>
    <w:rsid w:val="7E723E40"/>
    <w:rsid w:val="7EF515FA"/>
    <w:rsid w:val="7EF98B55"/>
    <w:rsid w:val="7EFDFB5D"/>
    <w:rsid w:val="7EFE63CA"/>
    <w:rsid w:val="7F2FC298"/>
    <w:rsid w:val="7F5E6066"/>
    <w:rsid w:val="7F67E950"/>
    <w:rsid w:val="7F776406"/>
    <w:rsid w:val="7FA529FB"/>
    <w:rsid w:val="7FBFA851"/>
    <w:rsid w:val="7FCB0DCE"/>
    <w:rsid w:val="7FFB7223"/>
    <w:rsid w:val="9EF7B565"/>
    <w:rsid w:val="9FF5A8B8"/>
    <w:rsid w:val="ADFF1A56"/>
    <w:rsid w:val="AFB116F3"/>
    <w:rsid w:val="BDEF796A"/>
    <w:rsid w:val="BE1C7D4C"/>
    <w:rsid w:val="BEAF1B11"/>
    <w:rsid w:val="BEED6585"/>
    <w:rsid w:val="BFA9FAB1"/>
    <w:rsid w:val="BFC54DE9"/>
    <w:rsid w:val="BFF93FF6"/>
    <w:rsid w:val="CAFFBD29"/>
    <w:rsid w:val="CFFFAA97"/>
    <w:rsid w:val="D7DF25A3"/>
    <w:rsid w:val="D7FF5BC7"/>
    <w:rsid w:val="DB5F0FFA"/>
    <w:rsid w:val="DE6760BE"/>
    <w:rsid w:val="DF7E18C9"/>
    <w:rsid w:val="EE5F0F63"/>
    <w:rsid w:val="EFB73309"/>
    <w:rsid w:val="F2F98D7A"/>
    <w:rsid w:val="F47FD85C"/>
    <w:rsid w:val="F5FF7FC1"/>
    <w:rsid w:val="F7BD51A7"/>
    <w:rsid w:val="F7BF0947"/>
    <w:rsid w:val="F7FB24ED"/>
    <w:rsid w:val="F9958ADE"/>
    <w:rsid w:val="F9E6F33A"/>
    <w:rsid w:val="F9FEB138"/>
    <w:rsid w:val="FADD8E51"/>
    <w:rsid w:val="FAEE596D"/>
    <w:rsid w:val="FB7CCD5B"/>
    <w:rsid w:val="FDEC73B2"/>
    <w:rsid w:val="FED012D3"/>
    <w:rsid w:val="FEFB8222"/>
    <w:rsid w:val="FF3D9EF0"/>
    <w:rsid w:val="FF7FCD78"/>
    <w:rsid w:val="FFF69E22"/>
    <w:rsid w:val="FFF70A6D"/>
    <w:rsid w:val="FFFACC45"/>
    <w:rsid w:val="FFFFA102"/>
    <w:rsid w:val="FFFFDC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5"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rPr>
  </w:style>
  <w:style w:type="paragraph" w:styleId="4">
    <w:name w:val="Balloon Text"/>
    <w:basedOn w:val="1"/>
    <w:link w:val="20"/>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i/>
      <w:i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eastAsia="宋体" w:asciiTheme="majorHAnsi" w:hAnsiTheme="majorHAnsi" w:cstheme="majorBidi"/>
      <w:b/>
      <w:bCs/>
      <w:kern w:val="28"/>
      <w:sz w:val="32"/>
      <w:szCs w:val="32"/>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5">
    <w:name w:val="不明显强调1"/>
    <w:basedOn w:val="10"/>
    <w:qFormat/>
    <w:uiPriority w:val="19"/>
    <w:rPr>
      <w:i/>
      <w:iCs/>
      <w:color w:val="808080" w:themeColor="text1" w:themeTint="80"/>
      <w14:textFill>
        <w14:solidFill>
          <w14:schemeClr w14:val="tx1">
            <w14:lumMod w14:val="50000"/>
            <w14:lumOff w14:val="50000"/>
          </w14:schemeClr>
        </w14:solidFill>
      </w14:textFill>
    </w:rPr>
  </w:style>
  <w:style w:type="character" w:customStyle="1" w:styleId="16">
    <w:name w:val="明显强调1"/>
    <w:basedOn w:val="10"/>
    <w:qFormat/>
    <w:uiPriority w:val="21"/>
    <w:rPr>
      <w:b/>
      <w:bCs/>
      <w:i/>
      <w:iCs/>
      <w:color w:val="4472C4" w:themeColor="accent1"/>
      <w14:textFill>
        <w14:solidFill>
          <w14:schemeClr w14:val="accent1"/>
        </w14:solidFill>
      </w14:textFill>
    </w:rPr>
  </w:style>
  <w:style w:type="character" w:customStyle="1" w:styleId="17">
    <w:name w:val="标题 3 Char"/>
    <w:basedOn w:val="10"/>
    <w:link w:val="2"/>
    <w:qFormat/>
    <w:uiPriority w:val="99"/>
    <w:rPr>
      <w:rFonts w:ascii="等线" w:hAnsi="等线" w:eastAsia="等线" w:cs="Times New Roman"/>
      <w:b/>
      <w:bCs/>
      <w:sz w:val="32"/>
      <w:szCs w:val="32"/>
    </w:rPr>
  </w:style>
  <w:style w:type="character" w:customStyle="1" w:styleId="18">
    <w:name w:val="15"/>
    <w:basedOn w:val="10"/>
    <w:qFormat/>
    <w:uiPriority w:val="0"/>
    <w:rPr>
      <w:rFonts w:hint="eastAsia" w:ascii="等线" w:hAnsi="等线" w:eastAsia="等线"/>
      <w:color w:val="0000FF"/>
      <w:u w:val="single"/>
    </w:rPr>
  </w:style>
  <w:style w:type="paragraph" w:customStyle="1" w:styleId="19">
    <w:name w:val="con"/>
    <w:basedOn w:val="1"/>
    <w:qFormat/>
    <w:uiPriority w:val="0"/>
    <w:pPr>
      <w:widowControl/>
      <w:spacing w:before="100" w:beforeAutospacing="1" w:after="100" w:afterAutospacing="1"/>
      <w:jc w:val="left"/>
    </w:pPr>
    <w:rPr>
      <w:rFonts w:hint="eastAsia" w:ascii="宋体" w:hAnsi="宋体" w:eastAsia="宋体"/>
      <w:kern w:val="0"/>
      <w:sz w:val="18"/>
      <w:szCs w:val="18"/>
    </w:rPr>
  </w:style>
  <w:style w:type="character" w:customStyle="1" w:styleId="20">
    <w:name w:val="批注框文本 Char"/>
    <w:basedOn w:val="10"/>
    <w:link w:val="4"/>
    <w:semiHidden/>
    <w:qFormat/>
    <w:uiPriority w:val="99"/>
    <w:rPr>
      <w:rFonts w:ascii="等线" w:hAnsi="等线" w:eastAsia="等线" w:cs="Times New Roman"/>
      <w:kern w:val="2"/>
      <w:sz w:val="18"/>
      <w:szCs w:val="18"/>
    </w:rPr>
  </w:style>
  <w:style w:type="character" w:customStyle="1" w:styleId="21">
    <w:name w:val="页脚 Char"/>
    <w:basedOn w:val="10"/>
    <w:link w:val="5"/>
    <w:qFormat/>
    <w:uiPriority w:val="99"/>
    <w:rPr>
      <w:rFonts w:ascii="等线" w:hAnsi="等线" w:eastAsia="等线" w:cs="Times New Roman"/>
      <w:kern w:val="2"/>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24</Pages>
  <Words>7970</Words>
  <Characters>8226</Characters>
  <Lines>62</Lines>
  <Paragraphs>17</Paragraphs>
  <TotalTime>23</TotalTime>
  <ScaleCrop>false</ScaleCrop>
  <LinksUpToDate>false</LinksUpToDate>
  <CharactersWithSpaces>8366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2022-05-12T02:19:00Z</dcterms:created>
  <dc:creator>覃海军</dc:creator>
  <cp:lastModifiedBy>Administrator</cp:lastModifiedBy>
  <cp:lastPrinted>2022-06-01T08:06:00Z</cp:lastPrinted>
  <dcterms:modified xsi:type="dcterms:W3CDTF">2023-04-24T03:11:37Z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4D3FE46BADD94BF1AE521FEDC0D9AE35_12</vt:lpwstr>
  </property>
</Properties>
</file>