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91130">
      <w:pPr>
        <w:keepNext w:val="0"/>
        <w:keepLines w:val="0"/>
        <w:pageBreakBefore w:val="0"/>
        <w:widowControl w:val="0"/>
        <w:kinsoku/>
        <w:wordWrap/>
        <w:overflowPunct/>
        <w:topLinePunct w:val="0"/>
        <w:autoSpaceDE/>
        <w:autoSpaceDN/>
        <w:bidi w:val="0"/>
        <w:adjustRightInd/>
        <w:snapToGrid/>
        <w:spacing w:line="700" w:lineRule="exact"/>
        <w:jc w:val="left"/>
        <w:textAlignment w:val="baseline"/>
        <w:rPr>
          <w:rFonts w:hint="default" w:ascii="黑体" w:hAnsi="黑体" w:eastAsia="黑体"/>
          <w:color w:val="auto"/>
          <w:kern w:val="0"/>
          <w:sz w:val="32"/>
          <w:szCs w:val="32"/>
          <w:lang w:val="en-US" w:eastAsia="zh-CN"/>
        </w:rPr>
      </w:pPr>
      <w:r>
        <w:rPr>
          <w:rFonts w:ascii="黑体" w:hAnsi="黑体" w:eastAsia="黑体"/>
          <w:color w:val="auto"/>
          <w:kern w:val="0"/>
          <w:sz w:val="32"/>
          <w:szCs w:val="32"/>
        </w:rPr>
        <w:t>附件</w:t>
      </w:r>
      <w:r>
        <w:rPr>
          <w:rFonts w:hint="eastAsia" w:ascii="黑体" w:hAnsi="黑体" w:eastAsia="黑体"/>
          <w:color w:val="auto"/>
          <w:kern w:val="0"/>
          <w:sz w:val="32"/>
          <w:szCs w:val="32"/>
          <w:lang w:val="en-US" w:eastAsia="zh-CN"/>
        </w:rPr>
        <w:t>6</w:t>
      </w:r>
      <w:bookmarkStart w:id="0" w:name="_GoBack"/>
      <w:bookmarkEnd w:id="0"/>
    </w:p>
    <w:p w14:paraId="587F2D86">
      <w:pPr>
        <w:keepNext w:val="0"/>
        <w:keepLines w:val="0"/>
        <w:pageBreakBefore w:val="0"/>
        <w:widowControl w:val="0"/>
        <w:kinsoku/>
        <w:wordWrap/>
        <w:overflowPunct/>
        <w:topLinePunct w:val="0"/>
        <w:autoSpaceDE/>
        <w:autoSpaceDN/>
        <w:bidi w:val="0"/>
        <w:adjustRightInd/>
        <w:snapToGrid/>
        <w:spacing w:line="7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师范类专业认证、工程教育专业认证、本科教育教学审核评估课程设置标准</w:t>
      </w:r>
    </w:p>
    <w:p w14:paraId="147F8A5B">
      <w:pPr>
        <w:spacing w:line="520" w:lineRule="exact"/>
        <w:jc w:val="center"/>
        <w:rPr>
          <w:rFonts w:ascii="华文中宋" w:hAnsi="华文中宋" w:eastAsia="华文中宋"/>
          <w:color w:val="auto"/>
          <w:sz w:val="32"/>
          <w:szCs w:val="32"/>
        </w:rPr>
      </w:pPr>
    </w:p>
    <w:p w14:paraId="0CEE09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一、师范类专业认证</w:t>
      </w:r>
    </w:p>
    <w:p w14:paraId="5084D1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color w:val="auto"/>
          <w:sz w:val="32"/>
          <w:szCs w:val="32"/>
          <w:lang w:val="en-US" w:eastAsia="zh-CN"/>
        </w:rPr>
      </w:pPr>
      <w:r>
        <w:rPr>
          <w:rFonts w:hint="eastAsia" w:ascii="仿宋" w:hAnsi="仿宋" w:eastAsia="仿宋"/>
          <w:b/>
          <w:color w:val="auto"/>
          <w:sz w:val="32"/>
          <w:szCs w:val="32"/>
          <w:lang w:eastAsia="zh-CN"/>
        </w:rPr>
        <w:t>（</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lang w:eastAsia="zh-CN"/>
        </w:rPr>
        <w:t>）</w:t>
      </w:r>
      <w:r>
        <w:rPr>
          <w:rFonts w:hint="eastAsia" w:ascii="仿宋" w:hAnsi="仿宋" w:eastAsia="仿宋"/>
          <w:b/>
          <w:color w:val="auto"/>
          <w:sz w:val="32"/>
          <w:szCs w:val="32"/>
          <w:lang w:val="en-US" w:eastAsia="zh-CN"/>
        </w:rPr>
        <w:t>共性要求</w:t>
      </w:r>
    </w:p>
    <w:p w14:paraId="13A2B6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b w:val="0"/>
          <w:bCs/>
          <w:color w:val="auto"/>
          <w:sz w:val="32"/>
          <w:szCs w:val="32"/>
          <w:lang w:val="en-US" w:eastAsia="zh-CN"/>
        </w:rPr>
      </w:pPr>
      <w:r>
        <w:rPr>
          <w:rFonts w:hint="eastAsia" w:ascii="仿宋" w:hAnsi="仿宋" w:eastAsia="仿宋"/>
          <w:b w:val="0"/>
          <w:bCs/>
          <w:color w:val="auto"/>
          <w:sz w:val="32"/>
          <w:szCs w:val="32"/>
        </w:rPr>
        <w:t>《中学教育专业认证标准（第二级）》《小学教育专业认证标准（第二级）》《学前教育专业认证标准第二级）》</w:t>
      </w:r>
      <w:r>
        <w:rPr>
          <w:rFonts w:hint="eastAsia" w:ascii="仿宋" w:hAnsi="仿宋" w:eastAsia="仿宋"/>
          <w:b w:val="0"/>
          <w:bCs/>
          <w:color w:val="auto"/>
          <w:sz w:val="32"/>
          <w:szCs w:val="32"/>
          <w:lang w:val="en-US" w:eastAsia="zh-CN"/>
        </w:rPr>
        <w:t>要求</w:t>
      </w:r>
      <w:r>
        <w:rPr>
          <w:rFonts w:hint="eastAsia" w:ascii="仿宋" w:hAnsi="仿宋" w:eastAsia="仿宋"/>
          <w:b w:val="0"/>
          <w:bCs/>
          <w:color w:val="auto"/>
          <w:sz w:val="32"/>
          <w:szCs w:val="32"/>
        </w:rPr>
        <w:t>课程结构体现通识教育、学科专业教育与教师教育有机结合；理论课与实践课、必修课与选修课设置合理。各类课程学分比例恰当，通识教育课程中的人文社会与科学素养课程学分不低于总学分的10%，</w:t>
      </w:r>
      <w:r>
        <w:rPr>
          <w:rFonts w:hint="eastAsia" w:ascii="仿宋" w:hAnsi="仿宋" w:eastAsia="仿宋"/>
          <w:b w:val="0"/>
          <w:bCs/>
          <w:color w:val="auto"/>
          <w:sz w:val="32"/>
          <w:szCs w:val="32"/>
          <w:lang w:val="en-US" w:eastAsia="zh-CN"/>
        </w:rPr>
        <w:t>教育实践课程≥18周。</w:t>
      </w:r>
    </w:p>
    <w:p w14:paraId="61CAEF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bCs w:val="0"/>
          <w:color w:val="auto"/>
          <w:sz w:val="32"/>
          <w:szCs w:val="32"/>
          <w:lang w:val="en-US" w:eastAsia="zh-CN"/>
        </w:rPr>
      </w:pPr>
      <w:r>
        <w:rPr>
          <w:rFonts w:hint="eastAsia" w:ascii="仿宋" w:hAnsi="仿宋" w:eastAsia="仿宋"/>
          <w:b/>
          <w:bCs w:val="0"/>
          <w:color w:val="auto"/>
          <w:sz w:val="32"/>
          <w:szCs w:val="32"/>
          <w:lang w:eastAsia="zh-CN"/>
        </w:rPr>
        <w:t>（</w:t>
      </w:r>
      <w:r>
        <w:rPr>
          <w:rFonts w:hint="eastAsia" w:ascii="仿宋" w:hAnsi="仿宋" w:eastAsia="仿宋"/>
          <w:b/>
          <w:bCs w:val="0"/>
          <w:color w:val="auto"/>
          <w:sz w:val="32"/>
          <w:szCs w:val="32"/>
          <w:lang w:val="en-US" w:eastAsia="zh-CN"/>
        </w:rPr>
        <w:t>二</w:t>
      </w:r>
      <w:r>
        <w:rPr>
          <w:rFonts w:hint="eastAsia" w:ascii="仿宋" w:hAnsi="仿宋" w:eastAsia="仿宋"/>
          <w:b/>
          <w:bCs w:val="0"/>
          <w:color w:val="auto"/>
          <w:sz w:val="32"/>
          <w:szCs w:val="32"/>
          <w:lang w:eastAsia="zh-CN"/>
        </w:rPr>
        <w:t>）</w:t>
      </w:r>
      <w:r>
        <w:rPr>
          <w:rFonts w:hint="eastAsia" w:ascii="仿宋" w:hAnsi="仿宋" w:eastAsia="仿宋"/>
          <w:b/>
          <w:bCs w:val="0"/>
          <w:color w:val="auto"/>
          <w:sz w:val="32"/>
          <w:szCs w:val="32"/>
          <w:lang w:val="en-US" w:eastAsia="zh-CN"/>
        </w:rPr>
        <w:t>不同要求</w:t>
      </w:r>
    </w:p>
    <w:p w14:paraId="0379A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val="0"/>
          <w:bCs/>
          <w:color w:val="auto"/>
          <w:sz w:val="32"/>
          <w:szCs w:val="32"/>
          <w:lang w:eastAsia="zh-CN"/>
        </w:rPr>
      </w:pPr>
      <w:r>
        <w:rPr>
          <w:rFonts w:hint="eastAsia" w:ascii="仿宋" w:hAnsi="仿宋" w:eastAsia="仿宋"/>
          <w:b w:val="0"/>
          <w:bCs/>
          <w:color w:val="auto"/>
          <w:sz w:val="32"/>
          <w:szCs w:val="32"/>
          <w:lang w:val="en-US" w:eastAsia="zh-CN"/>
        </w:rPr>
        <w:t>1.</w:t>
      </w:r>
      <w:r>
        <w:rPr>
          <w:rFonts w:hint="eastAsia" w:ascii="仿宋" w:hAnsi="仿宋" w:eastAsia="仿宋"/>
          <w:b w:val="0"/>
          <w:bCs/>
          <w:color w:val="auto"/>
          <w:sz w:val="32"/>
          <w:szCs w:val="32"/>
        </w:rPr>
        <w:t>《中学教育专业认证标准（第二级）》</w:t>
      </w:r>
      <w:r>
        <w:rPr>
          <w:rFonts w:hint="eastAsia" w:ascii="仿宋" w:hAnsi="仿宋" w:eastAsia="仿宋"/>
          <w:b w:val="0"/>
          <w:bCs/>
          <w:color w:val="auto"/>
          <w:sz w:val="32"/>
          <w:szCs w:val="32"/>
          <w:lang w:val="en-US" w:eastAsia="zh-CN"/>
        </w:rPr>
        <w:t>要求</w:t>
      </w:r>
      <w:r>
        <w:rPr>
          <w:rFonts w:hint="eastAsia" w:ascii="仿宋" w:hAnsi="仿宋" w:eastAsia="仿宋"/>
          <w:b w:val="0"/>
          <w:bCs/>
          <w:color w:val="auto"/>
          <w:sz w:val="32"/>
          <w:szCs w:val="32"/>
        </w:rPr>
        <w:t>学科专业课程学分不低于总学分的50%，</w:t>
      </w:r>
      <w:r>
        <w:rPr>
          <w:rFonts w:hint="eastAsia" w:ascii="仿宋" w:hAnsi="仿宋" w:eastAsia="仿宋"/>
          <w:color w:val="auto"/>
          <w:sz w:val="32"/>
          <w:szCs w:val="32"/>
        </w:rPr>
        <w:t>教师教育课程≥14学</w:t>
      </w:r>
      <w:r>
        <w:rPr>
          <w:rFonts w:hint="eastAsia" w:ascii="仿宋" w:hAnsi="仿宋" w:eastAsia="仿宋"/>
          <w:b w:val="0"/>
          <w:bCs/>
          <w:color w:val="auto"/>
          <w:sz w:val="32"/>
          <w:szCs w:val="32"/>
        </w:rPr>
        <w:t>分</w:t>
      </w:r>
      <w:r>
        <w:rPr>
          <w:rFonts w:hint="eastAsia" w:ascii="仿宋" w:hAnsi="仿宋" w:eastAsia="仿宋"/>
          <w:b w:val="0"/>
          <w:bCs/>
          <w:color w:val="auto"/>
          <w:sz w:val="32"/>
          <w:szCs w:val="32"/>
          <w:lang w:eastAsia="zh-CN"/>
        </w:rPr>
        <w:t>；</w:t>
      </w:r>
    </w:p>
    <w:p w14:paraId="392F3A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val="0"/>
          <w:bCs/>
          <w:color w:val="auto"/>
          <w:sz w:val="32"/>
          <w:szCs w:val="32"/>
          <w:lang w:eastAsia="zh-CN"/>
        </w:rPr>
      </w:pPr>
      <w:r>
        <w:rPr>
          <w:rFonts w:hint="eastAsia" w:ascii="仿宋" w:hAnsi="仿宋" w:eastAsia="仿宋"/>
          <w:b w:val="0"/>
          <w:bCs/>
          <w:color w:val="auto"/>
          <w:sz w:val="32"/>
          <w:szCs w:val="32"/>
          <w:lang w:val="en-US" w:eastAsia="zh-CN"/>
        </w:rPr>
        <w:t>2.</w:t>
      </w:r>
      <w:r>
        <w:rPr>
          <w:rFonts w:hint="eastAsia" w:ascii="仿宋" w:hAnsi="仿宋" w:eastAsia="仿宋"/>
          <w:b w:val="0"/>
          <w:bCs/>
          <w:color w:val="auto"/>
          <w:sz w:val="32"/>
          <w:szCs w:val="32"/>
        </w:rPr>
        <w:t>《小学教育专业认证标准（第二级）》</w:t>
      </w:r>
      <w:r>
        <w:rPr>
          <w:rFonts w:hint="eastAsia" w:ascii="仿宋" w:hAnsi="仿宋" w:eastAsia="仿宋"/>
          <w:b w:val="0"/>
          <w:bCs/>
          <w:color w:val="auto"/>
          <w:sz w:val="32"/>
          <w:szCs w:val="32"/>
          <w:lang w:val="en-US" w:eastAsia="zh-CN"/>
        </w:rPr>
        <w:t>要求</w:t>
      </w:r>
      <w:r>
        <w:rPr>
          <w:rFonts w:hint="eastAsia" w:ascii="仿宋" w:hAnsi="仿宋" w:eastAsia="仿宋"/>
          <w:b w:val="0"/>
          <w:bCs/>
          <w:color w:val="auto"/>
          <w:sz w:val="32"/>
          <w:szCs w:val="32"/>
        </w:rPr>
        <w:t>学科专业课程学分不低于总学分的35%，教师教育课程≥32学分</w:t>
      </w:r>
      <w:r>
        <w:rPr>
          <w:rFonts w:hint="eastAsia" w:ascii="仿宋" w:hAnsi="仿宋" w:eastAsia="仿宋"/>
          <w:b w:val="0"/>
          <w:bCs/>
          <w:color w:val="auto"/>
          <w:sz w:val="32"/>
          <w:szCs w:val="32"/>
          <w:lang w:eastAsia="zh-CN"/>
        </w:rPr>
        <w:t>；</w:t>
      </w:r>
    </w:p>
    <w:p w14:paraId="6F57E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b w:val="0"/>
          <w:bCs/>
          <w:color w:val="auto"/>
          <w:sz w:val="32"/>
          <w:szCs w:val="32"/>
          <w:lang w:val="en-US" w:eastAsia="zh-CN"/>
        </w:rPr>
        <w:t>3.</w:t>
      </w:r>
      <w:r>
        <w:rPr>
          <w:rFonts w:hint="eastAsia" w:ascii="仿宋" w:hAnsi="仿宋" w:eastAsia="仿宋"/>
          <w:b w:val="0"/>
          <w:bCs/>
          <w:color w:val="auto"/>
          <w:sz w:val="32"/>
          <w:szCs w:val="32"/>
        </w:rPr>
        <w:t>《学前教育专业认证标准</w:t>
      </w:r>
      <w:r>
        <w:rPr>
          <w:rFonts w:hint="eastAsia" w:ascii="仿宋" w:hAnsi="仿宋" w:eastAsia="仿宋"/>
          <w:b w:val="0"/>
          <w:bCs/>
          <w:color w:val="auto"/>
          <w:sz w:val="32"/>
          <w:szCs w:val="32"/>
          <w:lang w:eastAsia="zh-CN"/>
        </w:rPr>
        <w:t>（</w:t>
      </w:r>
      <w:r>
        <w:rPr>
          <w:rFonts w:hint="eastAsia" w:ascii="仿宋" w:hAnsi="仿宋" w:eastAsia="仿宋"/>
          <w:b w:val="0"/>
          <w:bCs/>
          <w:color w:val="auto"/>
          <w:sz w:val="32"/>
          <w:szCs w:val="32"/>
        </w:rPr>
        <w:t>第二级）》</w:t>
      </w:r>
      <w:r>
        <w:rPr>
          <w:rFonts w:hint="eastAsia" w:ascii="仿宋" w:hAnsi="仿宋" w:eastAsia="仿宋"/>
          <w:b w:val="0"/>
          <w:bCs/>
          <w:color w:val="auto"/>
          <w:sz w:val="32"/>
          <w:szCs w:val="32"/>
          <w:lang w:val="en-US" w:eastAsia="zh-CN"/>
        </w:rPr>
        <w:t>要求</w:t>
      </w:r>
      <w:r>
        <w:rPr>
          <w:rFonts w:hint="eastAsia" w:ascii="仿宋" w:hAnsi="仿宋" w:eastAsia="仿宋"/>
          <w:color w:val="auto"/>
          <w:sz w:val="32"/>
          <w:szCs w:val="32"/>
        </w:rPr>
        <w:t>支撑幼儿园各领域教育的相关课程学分不低于总学分的20%</w:t>
      </w:r>
      <w:r>
        <w:rPr>
          <w:rFonts w:hint="eastAsia" w:ascii="仿宋" w:hAnsi="仿宋" w:eastAsia="仿宋"/>
          <w:color w:val="auto"/>
          <w:sz w:val="32"/>
          <w:szCs w:val="32"/>
          <w:lang w:eastAsia="zh-CN"/>
        </w:rPr>
        <w:t>，</w:t>
      </w:r>
      <w:r>
        <w:rPr>
          <w:rFonts w:hint="eastAsia" w:ascii="仿宋" w:hAnsi="仿宋" w:eastAsia="仿宋"/>
          <w:color w:val="auto"/>
          <w:sz w:val="32"/>
          <w:szCs w:val="32"/>
        </w:rPr>
        <w:t>教师教育课程≥64学分。</w:t>
      </w:r>
    </w:p>
    <w:p w14:paraId="0FA1E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具体详见表1。</w:t>
      </w:r>
    </w:p>
    <w:p w14:paraId="317B4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p>
    <w:p w14:paraId="55ED8E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p>
    <w:p w14:paraId="66DED4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auto"/>
          <w:sz w:val="32"/>
          <w:szCs w:val="32"/>
        </w:rPr>
      </w:pPr>
    </w:p>
    <w:p w14:paraId="5F7F3E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表1 师范类专业认证课程设置及学分要求</w:t>
      </w:r>
    </w:p>
    <w:tbl>
      <w:tblPr>
        <w:tblStyle w:val="3"/>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2520"/>
        <w:gridCol w:w="3631"/>
      </w:tblGrid>
      <w:tr w14:paraId="5FD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98" w:type="dxa"/>
            <w:noWrap w:val="0"/>
            <w:vAlign w:val="center"/>
          </w:tcPr>
          <w:p w14:paraId="4AB25866">
            <w:pPr>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师范类专业认证</w:t>
            </w:r>
          </w:p>
        </w:tc>
        <w:tc>
          <w:tcPr>
            <w:tcW w:w="2520" w:type="dxa"/>
            <w:noWrap w:val="0"/>
            <w:vAlign w:val="center"/>
          </w:tcPr>
          <w:p w14:paraId="6BFA63C9">
            <w:pPr>
              <w:jc w:val="center"/>
              <w:rPr>
                <w:rFonts w:ascii="宋体" w:hAnsi="宋体" w:cs="宋体"/>
                <w:b/>
                <w:color w:val="auto"/>
                <w:szCs w:val="21"/>
              </w:rPr>
            </w:pPr>
            <w:r>
              <w:rPr>
                <w:rFonts w:hint="eastAsia" w:ascii="宋体" w:hAnsi="宋体" w:cs="宋体"/>
                <w:b/>
                <w:color w:val="auto"/>
                <w:szCs w:val="21"/>
              </w:rPr>
              <w:t>课程模块类别</w:t>
            </w:r>
          </w:p>
        </w:tc>
        <w:tc>
          <w:tcPr>
            <w:tcW w:w="3631" w:type="dxa"/>
            <w:noWrap w:val="0"/>
            <w:vAlign w:val="center"/>
          </w:tcPr>
          <w:p w14:paraId="366F9E9E">
            <w:pPr>
              <w:jc w:val="center"/>
              <w:rPr>
                <w:b/>
                <w:bCs/>
                <w:color w:val="auto"/>
              </w:rPr>
            </w:pPr>
            <w:r>
              <w:rPr>
                <w:rFonts w:hint="eastAsia"/>
                <w:b/>
                <w:bCs/>
                <w:color w:val="auto"/>
              </w:rPr>
              <w:t>学分占总学分的比重是否符合师范专业认证标准（二级）</w:t>
            </w:r>
          </w:p>
        </w:tc>
      </w:tr>
      <w:tr w14:paraId="7B4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298" w:type="dxa"/>
            <w:vMerge w:val="restart"/>
            <w:noWrap w:val="0"/>
            <w:vAlign w:val="center"/>
          </w:tcPr>
          <w:p w14:paraId="442BB871">
            <w:pPr>
              <w:adjustRightInd w:val="0"/>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《中学教育专业认证标准（第二级）》</w:t>
            </w:r>
          </w:p>
          <w:p w14:paraId="6627057B">
            <w:pPr>
              <w:adjustRightInd w:val="0"/>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《小学教育专业认证标准（第二级）》</w:t>
            </w:r>
          </w:p>
          <w:p w14:paraId="6956F9EF">
            <w:pPr>
              <w:adjustRightInd w:val="0"/>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《学前教育专业认证标准</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第二级）》</w:t>
            </w:r>
          </w:p>
        </w:tc>
        <w:tc>
          <w:tcPr>
            <w:tcW w:w="2520" w:type="dxa"/>
            <w:noWrap w:val="0"/>
            <w:vAlign w:val="center"/>
          </w:tcPr>
          <w:p w14:paraId="3DEEB3FB">
            <w:pPr>
              <w:adjustRightInd w:val="0"/>
              <w:snapToGrid w:val="0"/>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通修通识教育课程中的</w:t>
            </w:r>
          </w:p>
          <w:p w14:paraId="333D8E5C">
            <w:pPr>
              <w:adjustRightInd w:val="0"/>
              <w:snapToGrid w:val="0"/>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人文社会与科学素养课程</w:t>
            </w:r>
          </w:p>
        </w:tc>
        <w:tc>
          <w:tcPr>
            <w:tcW w:w="3631" w:type="dxa"/>
            <w:noWrap w:val="0"/>
            <w:vAlign w:val="center"/>
          </w:tcPr>
          <w:p w14:paraId="16DDA3B5">
            <w:pPr>
              <w:jc w:val="center"/>
              <w:rPr>
                <w:color w:val="auto"/>
                <w:highlight w:val="none"/>
              </w:rPr>
            </w:pPr>
            <w:r>
              <w:rPr>
                <w:rFonts w:hint="eastAsia"/>
                <w:color w:val="auto"/>
                <w:highlight w:val="none"/>
              </w:rPr>
              <w:t>符合（标准：≥1</w:t>
            </w:r>
            <w:r>
              <w:rPr>
                <w:color w:val="auto"/>
                <w:highlight w:val="none"/>
              </w:rPr>
              <w:t>0%</w:t>
            </w:r>
            <w:r>
              <w:rPr>
                <w:rFonts w:hint="eastAsia"/>
                <w:color w:val="auto"/>
                <w:highlight w:val="none"/>
              </w:rPr>
              <w:t>）</w:t>
            </w:r>
          </w:p>
        </w:tc>
      </w:tr>
      <w:tr w14:paraId="2DF8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98" w:type="dxa"/>
            <w:vMerge w:val="continue"/>
            <w:noWrap w:val="0"/>
            <w:vAlign w:val="center"/>
          </w:tcPr>
          <w:p w14:paraId="6F6642C5">
            <w:pPr>
              <w:adjustRightInd w:val="0"/>
              <w:snapToGrid w:val="0"/>
              <w:ind w:left="-105" w:leftChars="-50" w:right="-105" w:rightChars="-50"/>
              <w:jc w:val="center"/>
              <w:rPr>
                <w:rFonts w:hint="eastAsia" w:ascii="宋体" w:hAnsi="宋体" w:cs="宋体"/>
                <w:color w:val="auto"/>
                <w:szCs w:val="21"/>
              </w:rPr>
            </w:pPr>
          </w:p>
        </w:tc>
        <w:tc>
          <w:tcPr>
            <w:tcW w:w="2520" w:type="dxa"/>
            <w:vMerge w:val="restart"/>
            <w:noWrap w:val="0"/>
            <w:vAlign w:val="center"/>
          </w:tcPr>
          <w:p w14:paraId="3678248F">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rPr>
              <w:t>教师教育课程</w:t>
            </w:r>
          </w:p>
        </w:tc>
        <w:tc>
          <w:tcPr>
            <w:tcW w:w="3631" w:type="dxa"/>
            <w:noWrap w:val="0"/>
            <w:vAlign w:val="center"/>
          </w:tcPr>
          <w:p w14:paraId="0747CCDA">
            <w:pPr>
              <w:adjustRightInd w:val="0"/>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《中学教育专业认证标准（第二级）》</w:t>
            </w:r>
          </w:p>
          <w:p w14:paraId="027FF7A6">
            <w:pPr>
              <w:jc w:val="center"/>
              <w:rPr>
                <w:rFonts w:hint="eastAsia"/>
                <w:color w:val="auto"/>
              </w:rPr>
            </w:pPr>
            <w:r>
              <w:rPr>
                <w:rFonts w:hint="eastAsia"/>
                <w:color w:val="auto"/>
              </w:rPr>
              <w:t>符合（标准：≥1</w:t>
            </w:r>
            <w:r>
              <w:rPr>
                <w:color w:val="auto"/>
              </w:rPr>
              <w:t>4</w:t>
            </w:r>
            <w:r>
              <w:rPr>
                <w:rFonts w:hint="eastAsia"/>
                <w:color w:val="auto"/>
              </w:rPr>
              <w:t>学分）</w:t>
            </w:r>
          </w:p>
        </w:tc>
      </w:tr>
      <w:tr w14:paraId="44A7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98" w:type="dxa"/>
            <w:vMerge w:val="continue"/>
            <w:noWrap w:val="0"/>
            <w:vAlign w:val="center"/>
          </w:tcPr>
          <w:p w14:paraId="3235BBCF">
            <w:pPr>
              <w:jc w:val="center"/>
            </w:pPr>
          </w:p>
        </w:tc>
        <w:tc>
          <w:tcPr>
            <w:tcW w:w="2520" w:type="dxa"/>
            <w:vMerge w:val="continue"/>
            <w:noWrap w:val="0"/>
            <w:vAlign w:val="center"/>
          </w:tcPr>
          <w:p w14:paraId="6F8224C4">
            <w:pPr>
              <w:jc w:val="center"/>
            </w:pPr>
          </w:p>
        </w:tc>
        <w:tc>
          <w:tcPr>
            <w:tcW w:w="3631" w:type="dxa"/>
            <w:noWrap w:val="0"/>
            <w:vAlign w:val="center"/>
          </w:tcPr>
          <w:p w14:paraId="1D1DE988">
            <w:pPr>
              <w:jc w:val="both"/>
              <w:rPr>
                <w:rFonts w:hint="eastAsia"/>
                <w:color w:val="auto"/>
              </w:rPr>
            </w:pPr>
            <w:r>
              <w:rPr>
                <w:rFonts w:hint="eastAsia"/>
                <w:color w:val="auto"/>
              </w:rPr>
              <w:t>《小学教育专业认证标准（第二级）》</w:t>
            </w:r>
          </w:p>
          <w:p w14:paraId="6A96F2AC">
            <w:pPr>
              <w:jc w:val="center"/>
              <w:rPr>
                <w:rFonts w:hint="eastAsia"/>
                <w:color w:val="auto"/>
              </w:rPr>
            </w:pPr>
            <w:r>
              <w:rPr>
                <w:rFonts w:hint="eastAsia"/>
                <w:color w:val="auto"/>
              </w:rPr>
              <w:t>符合（标准：≥32学分</w:t>
            </w:r>
            <w:r>
              <w:rPr>
                <w:rFonts w:hint="eastAsia"/>
                <w:color w:val="auto"/>
                <w:lang w:eastAsia="zh-CN"/>
              </w:rPr>
              <w:t>）</w:t>
            </w:r>
          </w:p>
        </w:tc>
      </w:tr>
      <w:tr w14:paraId="0C9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98" w:type="dxa"/>
            <w:vMerge w:val="continue"/>
            <w:noWrap w:val="0"/>
            <w:vAlign w:val="center"/>
          </w:tcPr>
          <w:p w14:paraId="3D44B340">
            <w:pPr>
              <w:jc w:val="center"/>
              <w:rPr>
                <w:rFonts w:hint="eastAsia"/>
                <w:color w:val="auto"/>
              </w:rPr>
            </w:pPr>
          </w:p>
        </w:tc>
        <w:tc>
          <w:tcPr>
            <w:tcW w:w="2520" w:type="dxa"/>
            <w:vMerge w:val="continue"/>
            <w:noWrap w:val="0"/>
            <w:vAlign w:val="center"/>
          </w:tcPr>
          <w:p w14:paraId="0EE0D792">
            <w:pPr>
              <w:jc w:val="center"/>
              <w:rPr>
                <w:rFonts w:hint="eastAsia"/>
                <w:color w:val="auto"/>
              </w:rPr>
            </w:pPr>
          </w:p>
        </w:tc>
        <w:tc>
          <w:tcPr>
            <w:tcW w:w="3631" w:type="dxa"/>
            <w:noWrap w:val="0"/>
            <w:vAlign w:val="center"/>
          </w:tcPr>
          <w:p w14:paraId="6C3FC127">
            <w:pPr>
              <w:jc w:val="center"/>
              <w:rPr>
                <w:rFonts w:hint="eastAsia"/>
                <w:color w:val="auto"/>
              </w:rPr>
            </w:pPr>
            <w:r>
              <w:rPr>
                <w:rFonts w:hint="eastAsia"/>
                <w:color w:val="auto"/>
              </w:rPr>
              <w:t>《学前教育专业认证标准（第二级）》</w:t>
            </w:r>
          </w:p>
          <w:p w14:paraId="158EF9AD">
            <w:pPr>
              <w:jc w:val="center"/>
              <w:rPr>
                <w:rFonts w:hint="eastAsia"/>
                <w:color w:val="auto"/>
              </w:rPr>
            </w:pPr>
            <w:r>
              <w:rPr>
                <w:rFonts w:hint="eastAsia"/>
                <w:color w:val="auto"/>
              </w:rPr>
              <w:t>符合（标准：≥64学分）</w:t>
            </w:r>
          </w:p>
        </w:tc>
      </w:tr>
      <w:tr w14:paraId="1AD1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98" w:type="dxa"/>
            <w:vMerge w:val="continue"/>
            <w:noWrap w:val="0"/>
            <w:vAlign w:val="center"/>
          </w:tcPr>
          <w:p w14:paraId="7CF1FA66">
            <w:pPr>
              <w:adjustRightInd w:val="0"/>
              <w:snapToGrid w:val="0"/>
              <w:ind w:left="-105" w:leftChars="-50" w:right="-105" w:rightChars="-50"/>
              <w:jc w:val="center"/>
              <w:rPr>
                <w:rFonts w:hint="eastAsia" w:ascii="宋体" w:hAnsi="宋体" w:cs="宋体"/>
                <w:color w:val="auto"/>
                <w:szCs w:val="21"/>
              </w:rPr>
            </w:pPr>
          </w:p>
        </w:tc>
        <w:tc>
          <w:tcPr>
            <w:tcW w:w="2520" w:type="dxa"/>
            <w:vMerge w:val="restart"/>
            <w:noWrap w:val="0"/>
            <w:vAlign w:val="center"/>
          </w:tcPr>
          <w:p w14:paraId="0D3AA810">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rPr>
              <w:t>专业教育课程</w:t>
            </w:r>
          </w:p>
        </w:tc>
        <w:tc>
          <w:tcPr>
            <w:tcW w:w="3631" w:type="dxa"/>
            <w:noWrap w:val="0"/>
            <w:vAlign w:val="center"/>
          </w:tcPr>
          <w:p w14:paraId="497D77FD">
            <w:pPr>
              <w:adjustRightInd w:val="0"/>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《中学教育专业认证标准（第二级）》</w:t>
            </w:r>
          </w:p>
          <w:p w14:paraId="5DB91874">
            <w:pPr>
              <w:jc w:val="center"/>
              <w:rPr>
                <w:rFonts w:hint="eastAsia"/>
                <w:color w:val="auto"/>
              </w:rPr>
            </w:pPr>
            <w:r>
              <w:rPr>
                <w:rFonts w:hint="eastAsia"/>
                <w:color w:val="auto"/>
              </w:rPr>
              <w:t>符合（标准：≥5</w:t>
            </w:r>
            <w:r>
              <w:rPr>
                <w:color w:val="auto"/>
              </w:rPr>
              <w:t>0%</w:t>
            </w:r>
            <w:r>
              <w:rPr>
                <w:rFonts w:hint="eastAsia"/>
                <w:color w:val="auto"/>
              </w:rPr>
              <w:t>）</w:t>
            </w:r>
          </w:p>
        </w:tc>
      </w:tr>
      <w:tr w14:paraId="29DA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98" w:type="dxa"/>
            <w:vMerge w:val="continue"/>
            <w:noWrap w:val="0"/>
            <w:vAlign w:val="center"/>
          </w:tcPr>
          <w:p w14:paraId="09FED37C">
            <w:pPr>
              <w:jc w:val="center"/>
            </w:pPr>
          </w:p>
        </w:tc>
        <w:tc>
          <w:tcPr>
            <w:tcW w:w="2520" w:type="dxa"/>
            <w:vMerge w:val="continue"/>
            <w:noWrap w:val="0"/>
            <w:vAlign w:val="center"/>
          </w:tcPr>
          <w:p w14:paraId="40A044EE">
            <w:pPr>
              <w:jc w:val="center"/>
            </w:pPr>
          </w:p>
        </w:tc>
        <w:tc>
          <w:tcPr>
            <w:tcW w:w="3631" w:type="dxa"/>
            <w:noWrap w:val="0"/>
            <w:vAlign w:val="center"/>
          </w:tcPr>
          <w:p w14:paraId="57E45B93">
            <w:pPr>
              <w:jc w:val="center"/>
              <w:rPr>
                <w:rFonts w:hint="eastAsia"/>
                <w:color w:val="auto"/>
              </w:rPr>
            </w:pPr>
            <w:r>
              <w:rPr>
                <w:rFonts w:hint="eastAsia"/>
                <w:color w:val="auto"/>
              </w:rPr>
              <w:t>《小学教育专业认证标准（第二级）》符合（标准：≥35</w:t>
            </w:r>
            <w:r>
              <w:rPr>
                <w:color w:val="auto"/>
              </w:rPr>
              <w:t>%</w:t>
            </w:r>
            <w:r>
              <w:rPr>
                <w:rFonts w:hint="eastAsia"/>
                <w:color w:val="auto"/>
              </w:rPr>
              <w:t>）</w:t>
            </w:r>
          </w:p>
        </w:tc>
      </w:tr>
      <w:tr w14:paraId="1AE9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98" w:type="dxa"/>
            <w:vMerge w:val="continue"/>
            <w:noWrap w:val="0"/>
            <w:vAlign w:val="center"/>
          </w:tcPr>
          <w:p w14:paraId="2EBE4025">
            <w:pPr>
              <w:jc w:val="center"/>
              <w:rPr>
                <w:rFonts w:hint="eastAsia"/>
                <w:color w:val="auto"/>
              </w:rPr>
            </w:pPr>
          </w:p>
        </w:tc>
        <w:tc>
          <w:tcPr>
            <w:tcW w:w="2520" w:type="dxa"/>
            <w:vMerge w:val="continue"/>
            <w:noWrap w:val="0"/>
            <w:vAlign w:val="center"/>
          </w:tcPr>
          <w:p w14:paraId="5D7F8A26">
            <w:pPr>
              <w:jc w:val="center"/>
              <w:rPr>
                <w:rFonts w:hint="eastAsia"/>
                <w:color w:val="auto"/>
              </w:rPr>
            </w:pPr>
          </w:p>
        </w:tc>
        <w:tc>
          <w:tcPr>
            <w:tcW w:w="3631" w:type="dxa"/>
            <w:noWrap w:val="0"/>
            <w:vAlign w:val="center"/>
          </w:tcPr>
          <w:p w14:paraId="3E3BA795">
            <w:pPr>
              <w:adjustRightInd w:val="0"/>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《学前教育专业认证标准</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第二级）》</w:t>
            </w:r>
          </w:p>
          <w:p w14:paraId="656C4A5A">
            <w:pPr>
              <w:jc w:val="center"/>
              <w:rPr>
                <w:rFonts w:hint="eastAsia"/>
                <w:color w:val="auto"/>
              </w:rPr>
            </w:pPr>
            <w:r>
              <w:rPr>
                <w:rFonts w:hint="eastAsia"/>
                <w:color w:val="auto"/>
              </w:rPr>
              <w:t>符合（标准：≥20</w:t>
            </w:r>
            <w:r>
              <w:rPr>
                <w:color w:val="auto"/>
              </w:rPr>
              <w:t>%</w:t>
            </w:r>
            <w:r>
              <w:rPr>
                <w:rFonts w:hint="eastAsia"/>
                <w:color w:val="auto"/>
              </w:rPr>
              <w:t>）</w:t>
            </w:r>
          </w:p>
        </w:tc>
      </w:tr>
      <w:tr w14:paraId="6CF0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8" w:type="dxa"/>
            <w:vMerge w:val="continue"/>
            <w:noWrap w:val="0"/>
            <w:vAlign w:val="center"/>
          </w:tcPr>
          <w:p w14:paraId="56AE9303">
            <w:pPr>
              <w:adjustRightInd w:val="0"/>
              <w:snapToGrid w:val="0"/>
              <w:ind w:left="-105" w:leftChars="-50" w:right="-105" w:rightChars="-50"/>
              <w:jc w:val="center"/>
              <w:rPr>
                <w:rFonts w:hint="eastAsia"/>
                <w:color w:val="auto"/>
              </w:rPr>
            </w:pPr>
          </w:p>
        </w:tc>
        <w:tc>
          <w:tcPr>
            <w:tcW w:w="2520" w:type="dxa"/>
            <w:noWrap w:val="0"/>
            <w:vAlign w:val="center"/>
          </w:tcPr>
          <w:p w14:paraId="3D6B8A55">
            <w:pPr>
              <w:adjustRightInd w:val="0"/>
              <w:snapToGrid w:val="0"/>
              <w:ind w:left="-105" w:leftChars="-50" w:right="-105" w:rightChars="-50"/>
              <w:jc w:val="center"/>
              <w:rPr>
                <w:rFonts w:ascii="宋体" w:hAnsi="宋体" w:cs="宋体"/>
                <w:color w:val="auto"/>
                <w:szCs w:val="21"/>
              </w:rPr>
            </w:pPr>
            <w:r>
              <w:rPr>
                <w:rFonts w:hint="eastAsia"/>
                <w:color w:val="auto"/>
              </w:rPr>
              <w:t>教育实践</w:t>
            </w:r>
          </w:p>
        </w:tc>
        <w:tc>
          <w:tcPr>
            <w:tcW w:w="3631" w:type="dxa"/>
            <w:noWrap w:val="0"/>
            <w:vAlign w:val="center"/>
          </w:tcPr>
          <w:p w14:paraId="5889E166">
            <w:pPr>
              <w:adjustRightInd w:val="0"/>
              <w:snapToGrid w:val="0"/>
              <w:ind w:left="-105" w:leftChars="-50" w:right="-105" w:rightChars="-50"/>
              <w:jc w:val="center"/>
              <w:rPr>
                <w:rFonts w:ascii="宋体" w:hAnsi="宋体" w:cs="宋体"/>
                <w:color w:val="auto"/>
                <w:szCs w:val="21"/>
              </w:rPr>
            </w:pPr>
            <w:r>
              <w:rPr>
                <w:rFonts w:hint="eastAsia"/>
                <w:color w:val="auto"/>
              </w:rPr>
              <w:t>符合（标准：≥1</w:t>
            </w:r>
            <w:r>
              <w:rPr>
                <w:color w:val="auto"/>
              </w:rPr>
              <w:t>8</w:t>
            </w:r>
            <w:r>
              <w:rPr>
                <w:rFonts w:hint="eastAsia"/>
                <w:color w:val="auto"/>
              </w:rPr>
              <w:t>周）</w:t>
            </w:r>
          </w:p>
        </w:tc>
      </w:tr>
    </w:tbl>
    <w:p w14:paraId="3A886C6B">
      <w:pPr>
        <w:spacing w:line="520" w:lineRule="exact"/>
        <w:rPr>
          <w:rFonts w:ascii="仿宋" w:hAnsi="仿宋" w:eastAsia="仿宋"/>
          <w:color w:val="auto"/>
          <w:sz w:val="32"/>
          <w:szCs w:val="32"/>
        </w:rPr>
      </w:pPr>
    </w:p>
    <w:p w14:paraId="60D2D3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二、《中国工程教育专业认证通用标准》</w:t>
      </w:r>
    </w:p>
    <w:p w14:paraId="10C84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一</w:t>
      </w:r>
      <w:r>
        <w:rPr>
          <w:rFonts w:hint="eastAsia" w:ascii="仿宋" w:hAnsi="仿宋" w:eastAsia="仿宋"/>
          <w:color w:val="auto"/>
          <w:sz w:val="32"/>
          <w:szCs w:val="32"/>
          <w:lang w:eastAsia="zh-CN"/>
        </w:rPr>
        <w:t>）</w:t>
      </w:r>
      <w:r>
        <w:rPr>
          <w:rFonts w:hint="eastAsia" w:ascii="仿宋" w:hAnsi="仿宋" w:eastAsia="仿宋"/>
          <w:color w:val="auto"/>
          <w:sz w:val="32"/>
          <w:szCs w:val="32"/>
        </w:rPr>
        <w:t>课程体系</w:t>
      </w:r>
    </w:p>
    <w:p w14:paraId="79E3C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课程设置能支持毕业要求的达成，课程体系设计有企业或行业专家参与。课程体系必须包括：</w:t>
      </w:r>
    </w:p>
    <w:p w14:paraId="0C34AC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与本专业毕业要求相适应的数学与自然科学类课程（至少占总学分的15%）。</w:t>
      </w:r>
    </w:p>
    <w:p w14:paraId="77803A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p w14:paraId="091DC5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14:paraId="35A579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人文社会科学类通识教育课程（至少占总学分的15%），使学生在从事工程设计时能够考虑经济、环境、法律、伦理等各种制约因素。</w:t>
      </w:r>
    </w:p>
    <w:p w14:paraId="061664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三、《普通高等学校本科教育教学审核估指标体系（试行）》</w:t>
      </w:r>
    </w:p>
    <w:p w14:paraId="50E45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b w:val="0"/>
          <w:bCs w:val="0"/>
          <w:color w:val="auto"/>
          <w:kern w:val="0"/>
          <w:sz w:val="32"/>
          <w:szCs w:val="32"/>
          <w:highlight w:val="none"/>
          <w:lang w:val="en-US" w:eastAsia="zh-CN"/>
        </w:rPr>
      </w:pPr>
      <w:r>
        <w:rPr>
          <w:rFonts w:hint="eastAsia" w:ascii="仿宋" w:hAnsi="仿宋" w:eastAsia="仿宋"/>
          <w:color w:val="auto"/>
          <w:kern w:val="0"/>
          <w:sz w:val="32"/>
          <w:szCs w:val="32"/>
          <w:highlight w:val="none"/>
        </w:rPr>
        <w:t>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w:t>
      </w:r>
      <w:r>
        <w:rPr>
          <w:rFonts w:hint="eastAsia" w:ascii="仿宋" w:hAnsi="仿宋" w:eastAsia="仿宋"/>
          <w:b w:val="0"/>
          <w:bCs w:val="0"/>
          <w:color w:val="auto"/>
          <w:kern w:val="0"/>
          <w:sz w:val="32"/>
          <w:szCs w:val="32"/>
          <w:highlight w:val="none"/>
        </w:rPr>
        <w:t>教学成效等。我校参加</w:t>
      </w:r>
      <w:r>
        <w:rPr>
          <w:rFonts w:hint="eastAsia" w:ascii="仿宋" w:hAnsi="仿宋" w:eastAsia="仿宋"/>
          <w:b w:val="0"/>
          <w:bCs w:val="0"/>
          <w:color w:val="auto"/>
          <w:kern w:val="0"/>
          <w:sz w:val="32"/>
          <w:szCs w:val="32"/>
          <w:highlight w:val="none"/>
          <w:lang w:val="en-US" w:eastAsia="zh-CN"/>
        </w:rPr>
        <w:t>的是</w:t>
      </w:r>
      <w:r>
        <w:rPr>
          <w:rFonts w:hint="eastAsia" w:ascii="仿宋" w:hAnsi="仿宋" w:eastAsia="仿宋"/>
          <w:b w:val="0"/>
          <w:bCs w:val="0"/>
          <w:color w:val="auto"/>
          <w:kern w:val="0"/>
          <w:sz w:val="32"/>
          <w:szCs w:val="32"/>
          <w:highlight w:val="none"/>
        </w:rPr>
        <w:t>第二类审核评估第一种</w:t>
      </w:r>
      <w:r>
        <w:rPr>
          <w:rFonts w:hint="eastAsia" w:ascii="仿宋" w:hAnsi="仿宋" w:eastAsia="仿宋"/>
          <w:b w:val="0"/>
          <w:bCs w:val="0"/>
          <w:color w:val="auto"/>
          <w:kern w:val="0"/>
          <w:sz w:val="32"/>
          <w:szCs w:val="32"/>
          <w:highlight w:val="none"/>
          <w:lang w:eastAsia="zh-CN"/>
        </w:rPr>
        <w:t>。</w:t>
      </w:r>
      <w:r>
        <w:rPr>
          <w:rFonts w:hint="eastAsia" w:ascii="仿宋" w:hAnsi="仿宋" w:eastAsia="仿宋"/>
          <w:b w:val="0"/>
          <w:bCs w:val="0"/>
          <w:color w:val="auto"/>
          <w:kern w:val="0"/>
          <w:sz w:val="32"/>
          <w:szCs w:val="32"/>
          <w:highlight w:val="none"/>
          <w:lang w:val="en-US" w:eastAsia="zh-CN"/>
        </w:rPr>
        <w:t>具体详见表2。</w:t>
      </w:r>
    </w:p>
    <w:p w14:paraId="2BE0B2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表2 《普通高等学校本科教育教学审核估指标体系（试行）》</w:t>
      </w:r>
    </w:p>
    <w:tbl>
      <w:tblPr>
        <w:tblStyle w:val="3"/>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14:paraId="411C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14:paraId="75E580F7">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14:paraId="009181D7">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5811" w:type="dxa"/>
            <w:gridSpan w:val="2"/>
            <w:shd w:val="clear" w:color="auto" w:fill="auto"/>
            <w:vAlign w:val="center"/>
          </w:tcPr>
          <w:p w14:paraId="692EBD31">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14:paraId="63E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14:paraId="7B4601FA">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14:paraId="47C6C66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5811" w:type="dxa"/>
            <w:gridSpan w:val="2"/>
            <w:shd w:val="clear" w:color="auto" w:fill="auto"/>
            <w:vAlign w:val="center"/>
          </w:tcPr>
          <w:p w14:paraId="2FB59377">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14:paraId="3E15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4" w:type="dxa"/>
            <w:vMerge w:val="continue"/>
            <w:shd w:val="clear" w:color="auto" w:fill="auto"/>
            <w:vAlign w:val="center"/>
          </w:tcPr>
          <w:p w14:paraId="31AB74B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9A904A5">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423ECF6">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14:paraId="714643A0">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14:paraId="2F9D3C0D">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14:paraId="1249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vAlign w:val="center"/>
          </w:tcPr>
          <w:p w14:paraId="58F5D2C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9A2E28B">
            <w:pPr>
              <w:widowControl/>
              <w:spacing w:line="300" w:lineRule="exact"/>
              <w:jc w:val="center"/>
              <w:rPr>
                <w:rFonts w:ascii="Times New Roman" w:hAnsi="Times New Roman" w:cs="宋体"/>
                <w:color w:val="000000"/>
                <w:kern w:val="0"/>
                <w:szCs w:val="21"/>
              </w:rPr>
            </w:pPr>
          </w:p>
        </w:tc>
        <w:tc>
          <w:tcPr>
            <w:tcW w:w="917" w:type="dxa"/>
            <w:shd w:val="clear" w:color="auto" w:fill="auto"/>
            <w:vAlign w:val="center"/>
          </w:tcPr>
          <w:p w14:paraId="28D9E3B0">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14:paraId="4A008D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培养方案强化理论基础、突出科教融合、注重培养学生创新能力情况</w:t>
            </w:r>
          </w:p>
        </w:tc>
      </w:tr>
      <w:tr w14:paraId="02BD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14:paraId="7383869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7CF15BE">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5811" w:type="dxa"/>
            <w:gridSpan w:val="2"/>
            <w:shd w:val="clear" w:color="auto" w:fill="auto"/>
            <w:vAlign w:val="center"/>
          </w:tcPr>
          <w:p w14:paraId="7E81C734">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14:paraId="53C4040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14:paraId="21DBA7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14:paraId="408A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41C1BCF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07BE0C6">
            <w:pPr>
              <w:widowControl/>
              <w:spacing w:line="300" w:lineRule="exact"/>
              <w:jc w:val="center"/>
              <w:rPr>
                <w:rFonts w:ascii="Times New Roman" w:hAnsi="Times New Roman" w:cs="宋体"/>
                <w:color w:val="000000"/>
                <w:kern w:val="0"/>
                <w:szCs w:val="21"/>
              </w:rPr>
            </w:pPr>
          </w:p>
        </w:tc>
        <w:tc>
          <w:tcPr>
            <w:tcW w:w="917" w:type="dxa"/>
            <w:shd w:val="clear" w:color="auto" w:fill="auto"/>
            <w:vAlign w:val="center"/>
          </w:tcPr>
          <w:p w14:paraId="6B6AD283">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4894" w:type="dxa"/>
            <w:shd w:val="clear" w:color="auto" w:fill="auto"/>
          </w:tcPr>
          <w:p w14:paraId="7C1AC979">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学校与科研院所、企业共建科研实践、实习实训基地情况</w:t>
            </w:r>
          </w:p>
          <w:p w14:paraId="2AB017BA">
            <w:pPr>
              <w:widowControl/>
              <w:spacing w:line="300" w:lineRule="exact"/>
              <w:rPr>
                <w:rFonts w:ascii="Times New Roman" w:hAnsi="Times New Roman" w:eastAsia="PMingLiU" w:cs="宋体"/>
                <w:color w:val="FF0000"/>
                <w:kern w:val="0"/>
                <w:szCs w:val="21"/>
                <w:lang w:eastAsia="zh-TW"/>
              </w:rPr>
            </w:pPr>
            <w:r>
              <w:rPr>
                <w:rFonts w:hint="eastAsia" w:ascii="Times New Roman" w:hAnsi="Times New Roman" w:cs="宋体"/>
                <w:kern w:val="0"/>
                <w:szCs w:val="21"/>
                <w:lang w:eastAsia="zh-TW"/>
              </w:rPr>
              <w:t>【可选】与行业企业共建的实验教学中心数</w:t>
            </w:r>
          </w:p>
        </w:tc>
      </w:tr>
      <w:tr w14:paraId="489E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4" w:type="dxa"/>
            <w:vMerge w:val="continue"/>
            <w:shd w:val="clear" w:color="auto" w:fill="auto"/>
          </w:tcPr>
          <w:p w14:paraId="2C6DBFC8">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96327B6">
            <w:pPr>
              <w:widowControl/>
              <w:spacing w:line="300" w:lineRule="exact"/>
              <w:jc w:val="center"/>
              <w:rPr>
                <w:rFonts w:ascii="Times New Roman" w:hAnsi="Times New Roman" w:cs="宋体"/>
                <w:color w:val="000000"/>
                <w:kern w:val="0"/>
                <w:szCs w:val="21"/>
              </w:rPr>
            </w:pPr>
          </w:p>
        </w:tc>
        <w:tc>
          <w:tcPr>
            <w:tcW w:w="917" w:type="dxa"/>
            <w:shd w:val="clear" w:color="auto" w:fill="auto"/>
            <w:vAlign w:val="center"/>
          </w:tcPr>
          <w:p w14:paraId="3BF7329B">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4894" w:type="dxa"/>
            <w:shd w:val="clear" w:color="auto" w:fill="auto"/>
          </w:tcPr>
          <w:p w14:paraId="155D34B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毕业论文（</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）选题来自教师专业实践、科研课题情况及完成质量</w:t>
            </w:r>
          </w:p>
          <w:p w14:paraId="33BBD9C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bl>
    <w:p w14:paraId="3FB04C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22E5E7-D7DE-45D8-8404-98B71E50D6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0A920341-DABE-413A-BB83-70CED0D5092F}"/>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A17BA910-A885-4228-BB62-72F1105113B0}"/>
  </w:font>
  <w:font w:name="仿宋">
    <w:panose1 w:val="02010609060101010101"/>
    <w:charset w:val="86"/>
    <w:family w:val="modern"/>
    <w:pitch w:val="default"/>
    <w:sig w:usb0="800002BF" w:usb1="38CF7CFA" w:usb2="00000016" w:usb3="00000000" w:csb0="00040001" w:csb1="00000000"/>
    <w:embedRegular r:id="rId4" w:fontKey="{B30BA1B2-98E1-441F-9074-F8D35394F649}"/>
  </w:font>
  <w:font w:name="PMingLiU">
    <w:panose1 w:val="02020500000000000000"/>
    <w:charset w:val="88"/>
    <w:family w:val="auto"/>
    <w:pitch w:val="default"/>
    <w:sig w:usb0="A00002FF" w:usb1="28CFFCFA" w:usb2="00000016" w:usb3="00000000" w:csb0="00100001" w:csb1="00000000"/>
    <w:embedRegular r:id="rId5" w:fontKey="{05C10D20-C80D-41DA-A13C-4F1C6B16A0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C48BC"/>
    <w:rsid w:val="101149FE"/>
    <w:rsid w:val="1D192221"/>
    <w:rsid w:val="24795B48"/>
    <w:rsid w:val="34D86A8E"/>
    <w:rsid w:val="35BC3B7F"/>
    <w:rsid w:val="3A5B46D2"/>
    <w:rsid w:val="5DC420E0"/>
    <w:rsid w:val="60A0620B"/>
    <w:rsid w:val="681F260A"/>
    <w:rsid w:val="6A2251B9"/>
    <w:rsid w:val="6FAC2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1822</Words>
  <Characters>1900</Characters>
  <Lines>0</Lines>
  <Paragraphs>0</Paragraphs>
  <TotalTime>36</TotalTime>
  <ScaleCrop>false</ScaleCrop>
  <LinksUpToDate>false</LinksUpToDate>
  <CharactersWithSpaces>1911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2025-03-27T15:01:00Z</dcterms:created>
  <dc:creator>Administrator</dc:creator>
  <cp:lastModifiedBy>后海不是海</cp:lastModifiedBy>
  <dcterms:modified xsi:type="dcterms:W3CDTF">2025-05-16T03:46:41Z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eyJoZGlkIjoiZGUzNzQ1YzE4YTI2MTc1OGZmZjNhN2IxYzdjZDg4ODYiLCJ1c2VySWQiOiIyNjIyMzQyOTIifQ==</vt:lpwstr>
  </property>
  <property fmtid="{D5CDD505-2E9C-101B-9397-08002B2CF9AE}" pid="4" name="ICV">
    <vt:lpwstr>CBDAE4BE5C9C4E7BBE07912CDD16DB25_13</vt:lpwstr>
  </property>
</Properties>
</file>