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7DA8">
      <w:pPr>
        <w:spacing w:before="101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1</w:t>
      </w:r>
    </w:p>
    <w:p w14:paraId="2F2A8556">
      <w:pPr>
        <w:spacing w:line="353" w:lineRule="auto"/>
        <w:rPr>
          <w:rFonts w:ascii="Arial"/>
          <w:sz w:val="21"/>
        </w:rPr>
      </w:pPr>
    </w:p>
    <w:p w14:paraId="15227A84">
      <w:pPr>
        <w:spacing w:before="185" w:line="198" w:lineRule="auto"/>
        <w:ind w:left="63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5"/>
          <w:sz w:val="43"/>
          <w:szCs w:val="43"/>
        </w:rPr>
        <w:t>2025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 xml:space="preserve">年“法治护航 </w:t>
      </w:r>
      <w:r>
        <w:rPr>
          <w:rFonts w:hint="eastAsia" w:ascii="微软雅黑" w:hAnsi="微软雅黑" w:eastAsia="微软雅黑" w:cs="微软雅黑"/>
          <w:spacing w:val="5"/>
          <w:sz w:val="43"/>
          <w:szCs w:val="43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阳光成长”全区校园</w:t>
      </w:r>
    </w:p>
    <w:p w14:paraId="686AD2E6">
      <w:pPr>
        <w:spacing w:before="2" w:line="185" w:lineRule="auto"/>
        <w:ind w:left="277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法律征文活动要求</w:t>
      </w:r>
    </w:p>
    <w:p w14:paraId="438CC716">
      <w:pPr>
        <w:spacing w:line="247" w:lineRule="auto"/>
        <w:rPr>
          <w:rFonts w:ascii="Arial"/>
          <w:sz w:val="21"/>
        </w:rPr>
      </w:pPr>
    </w:p>
    <w:p w14:paraId="7CC399CB">
      <w:pPr>
        <w:spacing w:line="248" w:lineRule="auto"/>
        <w:rPr>
          <w:rFonts w:ascii="Arial"/>
          <w:sz w:val="21"/>
        </w:rPr>
      </w:pPr>
    </w:p>
    <w:p w14:paraId="7A8CC0C5">
      <w:pPr>
        <w:pStyle w:val="2"/>
        <w:spacing w:before="101" w:line="320" w:lineRule="auto"/>
        <w:ind w:left="18" w:right="96" w:firstLine="630"/>
      </w:pPr>
      <w:r>
        <w:rPr>
          <w:spacing w:val="13"/>
        </w:rPr>
        <w:t>本次征文活动包含“法律案例命题作文”及“我身边的宪法</w:t>
      </w:r>
      <w:r>
        <w:rPr>
          <w:spacing w:val="3"/>
        </w:rPr>
        <w:t>小故事征文”两个题组。</w:t>
      </w:r>
    </w:p>
    <w:p w14:paraId="18511680">
      <w:pPr>
        <w:spacing w:line="411" w:lineRule="exact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一、征文主题</w:t>
      </w:r>
    </w:p>
    <w:p w14:paraId="5EE1A840">
      <w:pPr>
        <w:pStyle w:val="2"/>
        <w:spacing w:before="132" w:line="321" w:lineRule="auto"/>
        <w:ind w:left="6" w:right="96" w:firstLine="646"/>
        <w:jc w:val="both"/>
      </w:pPr>
      <w:r>
        <w:rPr>
          <w:spacing w:val="13"/>
        </w:rPr>
        <w:t>征文围绕学习宣传习近平法治思想、宪法精神、民法典、爱国主义教育法、未成年人保护法、预防未成年人犯罪法、教育法律法规、劳动教育等方面的内容，引导学生铸牢中华民族共同体意识，树立和巩固国家安全、诚实守信及规则意识；宣传自我安</w:t>
      </w:r>
      <w:r>
        <w:rPr>
          <w:spacing w:val="8"/>
        </w:rPr>
        <w:t>全保护、防范学生欺凌、网络诈骗等相关法律知</w:t>
      </w:r>
      <w:r>
        <w:rPr>
          <w:spacing w:val="7"/>
        </w:rPr>
        <w:t>识和技能。</w:t>
      </w:r>
    </w:p>
    <w:p w14:paraId="7ABA02D5">
      <w:pPr>
        <w:spacing w:before="2" w:line="412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二、题组设定</w:t>
      </w:r>
    </w:p>
    <w:p w14:paraId="20D32303">
      <w:pPr>
        <w:spacing w:before="139" w:line="196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（一）法律案例命题作文</w:t>
      </w:r>
    </w:p>
    <w:p w14:paraId="3A41DEB5">
      <w:pPr>
        <w:pStyle w:val="2"/>
        <w:spacing w:before="99" w:line="320" w:lineRule="auto"/>
        <w:ind w:left="13" w:firstLine="639"/>
        <w:jc w:val="both"/>
      </w:pPr>
      <w:r>
        <w:rPr>
          <w:spacing w:val="9"/>
        </w:rPr>
        <w:t>参评者结合征文主题及方向，根据以下命题，自拟题目，紧</w:t>
      </w:r>
      <w:r>
        <w:rPr>
          <w:spacing w:val="5"/>
        </w:rPr>
        <w:t>扣题目核心问题与社会现象，深挖根源，剖析法律与人情的平衡，</w:t>
      </w:r>
      <w:r>
        <w:rPr>
          <w:spacing w:val="6"/>
        </w:rPr>
        <w:t>确立正向且深刻的观点，撰写作文。</w:t>
      </w:r>
    </w:p>
    <w:p w14:paraId="3E08B5E4">
      <w:pPr>
        <w:pStyle w:val="2"/>
        <w:spacing w:before="7" w:line="420" w:lineRule="exact"/>
        <w:ind w:left="652"/>
      </w:pPr>
      <w:r>
        <w:rPr>
          <w:spacing w:val="-1"/>
          <w:position w:val="1"/>
        </w:rPr>
        <w:t>题目：</w:t>
      </w:r>
    </w:p>
    <w:p w14:paraId="15E675E4">
      <w:pPr>
        <w:pStyle w:val="2"/>
        <w:spacing w:before="155" w:line="418" w:lineRule="exact"/>
        <w:ind w:left="649"/>
      </w:pPr>
      <w:r>
        <w:rPr>
          <w:spacing w:val="-5"/>
          <w:position w:val="2"/>
        </w:rPr>
        <w:t>高校组（前沿探索</w:t>
      </w:r>
      <w:r>
        <w:rPr>
          <w:rFonts w:hint="eastAsia"/>
          <w:spacing w:val="5"/>
        </w:rPr>
        <w:t>·</w:t>
      </w:r>
      <w:r>
        <w:rPr>
          <w:spacing w:val="-5"/>
          <w:position w:val="2"/>
        </w:rPr>
        <w:t>制度反思）</w:t>
      </w:r>
    </w:p>
    <w:p w14:paraId="55B4F7AF">
      <w:pPr>
        <w:pStyle w:val="2"/>
        <w:spacing w:before="89" w:line="418" w:lineRule="exact"/>
        <w:ind w:left="659"/>
      </w:pPr>
      <w:r>
        <w:rPr>
          <w:rFonts w:ascii="Times New Roman" w:hAnsi="Times New Roman" w:eastAsia="Times New Roman" w:cs="Times New Roman"/>
          <w:spacing w:val="8"/>
          <w:position w:val="1"/>
        </w:rPr>
        <w:t>1.</w:t>
      </w:r>
      <w:r>
        <w:rPr>
          <w:spacing w:val="8"/>
          <w:position w:val="1"/>
        </w:rPr>
        <w:t>《元宇宙空间治理：法律代码化</w:t>
      </w:r>
      <w:r>
        <w:rPr>
          <w:rFonts w:ascii="Times New Roman" w:hAnsi="Times New Roman" w:eastAsia="Times New Roman" w:cs="Times New Roman"/>
          <w:position w:val="1"/>
        </w:rPr>
        <w:t>VS</w:t>
      </w:r>
      <w:r>
        <w:rPr>
          <w:spacing w:val="8"/>
          <w:position w:val="1"/>
        </w:rPr>
        <w:t>代码法律化》</w:t>
      </w:r>
    </w:p>
    <w:p w14:paraId="7A5B3894">
      <w:pPr>
        <w:pStyle w:val="2"/>
        <w:spacing w:before="122" w:line="418" w:lineRule="exact"/>
        <w:ind w:left="628"/>
      </w:pPr>
      <w:r>
        <w:rPr>
          <w:rFonts w:ascii="Times New Roman" w:hAnsi="Times New Roman" w:eastAsia="Times New Roman" w:cs="Times New Roman"/>
          <w:spacing w:val="10"/>
          <w:position w:val="2"/>
        </w:rPr>
        <w:t>2.</w:t>
      </w:r>
      <w:r>
        <w:rPr>
          <w:spacing w:val="10"/>
          <w:position w:val="2"/>
        </w:rPr>
        <w:t>《电车难题再思考：自动驾驶事故的归责算法》</w:t>
      </w:r>
    </w:p>
    <w:p w14:paraId="31B482C6">
      <w:pPr>
        <w:pStyle w:val="2"/>
        <w:spacing w:before="122" w:line="418" w:lineRule="exact"/>
        <w:ind w:left="635"/>
      </w:pPr>
      <w:r>
        <w:rPr>
          <w:rFonts w:ascii="Times New Roman" w:hAnsi="Times New Roman" w:eastAsia="Times New Roman" w:cs="Times New Roman"/>
          <w:spacing w:val="9"/>
          <w:position w:val="2"/>
        </w:rPr>
        <w:t>3.</w:t>
      </w:r>
      <w:r>
        <w:rPr>
          <w:spacing w:val="9"/>
          <w:position w:val="2"/>
        </w:rPr>
        <w:t>《人脸识别第一案：当技术利刃遇上权利盾牌》</w:t>
      </w:r>
    </w:p>
    <w:p w14:paraId="47CB5317">
      <w:pPr>
        <w:spacing w:before="166" w:line="196" w:lineRule="auto"/>
        <w:ind w:left="6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（二）我身边的宪法小故事征文</w:t>
      </w:r>
    </w:p>
    <w:p w14:paraId="7B1FEA79">
      <w:pPr>
        <w:pStyle w:val="2"/>
        <w:spacing w:before="95" w:line="321" w:lineRule="auto"/>
        <w:ind w:firstLine="640"/>
        <w:jc w:val="both"/>
      </w:pPr>
      <w:r>
        <w:rPr>
          <w:spacing w:val="11"/>
        </w:rPr>
        <w:t>根据“八五”普法规划要求，以深入学习习近</w:t>
      </w:r>
      <w:r>
        <w:rPr>
          <w:spacing w:val="10"/>
        </w:rPr>
        <w:t>平法治思想为</w:t>
      </w:r>
      <w:r>
        <w:rPr>
          <w:spacing w:val="13"/>
        </w:rPr>
        <w:t>核心，全面贯彻党的二十大和二十届二中、三中全会精神，着重反映现行宪法施行四十多年来党重视宪法法律、维护人民群众合法权益、保障社会公平正义、推动国家发展进步的法治故事和案</w:t>
      </w:r>
      <w:r>
        <w:rPr>
          <w:spacing w:val="5"/>
        </w:rPr>
        <w:t>例。参评者根据发生在身边的真实事件，自拟题目，撰写作文。</w:t>
      </w:r>
    </w:p>
    <w:p w14:paraId="0727ACC4">
      <w:pPr>
        <w:spacing w:before="5" w:line="411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三、征集对象及推荐要求</w:t>
      </w:r>
    </w:p>
    <w:p w14:paraId="571C14DB">
      <w:pPr>
        <w:pStyle w:val="2"/>
        <w:spacing w:before="134" w:line="314" w:lineRule="auto"/>
        <w:ind w:firstLine="639"/>
        <w:jc w:val="both"/>
      </w:pPr>
      <w:r>
        <w:rPr>
          <w:spacing w:val="13"/>
        </w:rPr>
        <w:t>本次活动面向全区各级中小学校（含中职）、普通高校本专</w:t>
      </w:r>
      <w:r>
        <w:rPr>
          <w:spacing w:val="11"/>
        </w:rPr>
        <w:t>科在校学生（不含研究生</w:t>
      </w:r>
      <w:r>
        <w:rPr>
          <w:spacing w:val="-22"/>
        </w:rPr>
        <w:t>），</w:t>
      </w:r>
      <w:r>
        <w:rPr>
          <w:rFonts w:hint="eastAsia"/>
          <w:spacing w:val="-22"/>
          <w:lang w:eastAsia="zh-CN"/>
        </w:rPr>
        <w:t>由</w:t>
      </w:r>
      <w:r>
        <w:rPr>
          <w:spacing w:val="11"/>
        </w:rPr>
        <w:t>各地各校通过遴选方</w:t>
      </w:r>
      <w:r>
        <w:rPr>
          <w:spacing w:val="10"/>
        </w:rPr>
        <w:t>式推荐优秀</w:t>
      </w:r>
      <w:r>
        <w:rPr>
          <w:spacing w:val="-2"/>
        </w:rPr>
        <w:t>作品参加。</w:t>
      </w:r>
    </w:p>
    <w:p w14:paraId="50AD77B3">
      <w:pPr>
        <w:pStyle w:val="2"/>
        <w:spacing w:before="1" w:line="326" w:lineRule="auto"/>
        <w:ind w:left="6" w:firstLine="628"/>
        <w:jc w:val="both"/>
        <w:rPr>
          <w:spacing w:val="3"/>
        </w:rPr>
      </w:pPr>
      <w:r>
        <w:rPr>
          <w:spacing w:val="10"/>
        </w:rPr>
        <w:t>每个题组每个设区市最多可推荐辖区内</w:t>
      </w:r>
      <w:r>
        <w:rPr>
          <w:rFonts w:ascii="Times New Roman" w:hAnsi="Times New Roman" w:eastAsia="Times New Roman" w:cs="Times New Roman"/>
          <w:spacing w:val="10"/>
        </w:rPr>
        <w:t>300</w:t>
      </w:r>
      <w:r>
        <w:rPr>
          <w:spacing w:val="10"/>
        </w:rPr>
        <w:t>篇优秀小、初、高中（含市属中职学校）学生作品；区直各中职学校每校最多推</w:t>
      </w:r>
      <w:r>
        <w:t xml:space="preserve"> </w:t>
      </w:r>
      <w:r>
        <w:rPr>
          <w:spacing w:val="4"/>
        </w:rPr>
        <w:t>荐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篇优秀学生作品；高校每校最多推荐</w:t>
      </w:r>
      <w:r>
        <w:rPr>
          <w:rFonts w:ascii="Times New Roman" w:hAnsi="Times New Roman" w:eastAsia="Times New Roman" w:cs="Times New Roman"/>
          <w:spacing w:val="4"/>
        </w:rPr>
        <w:t>20</w:t>
      </w:r>
      <w:r>
        <w:rPr>
          <w:spacing w:val="4"/>
        </w:rPr>
        <w:t>篇优秀学生</w:t>
      </w:r>
      <w:r>
        <w:rPr>
          <w:spacing w:val="3"/>
        </w:rPr>
        <w:t>作品。</w:t>
      </w:r>
    </w:p>
    <w:p w14:paraId="3CB4B9D0">
      <w:pPr>
        <w:pStyle w:val="2"/>
        <w:spacing w:before="1" w:line="326" w:lineRule="auto"/>
        <w:ind w:left="6" w:firstLine="628"/>
        <w:jc w:val="both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3"/>
          <w:position w:val="1"/>
          <w:sz w:val="31"/>
          <w:szCs w:val="31"/>
        </w:rPr>
        <w:t>四、作品要求</w:t>
      </w:r>
    </w:p>
    <w:p w14:paraId="08B760FC">
      <w:pPr>
        <w:pStyle w:val="2"/>
        <w:spacing w:before="94" w:line="311" w:lineRule="auto"/>
        <w:ind w:right="32" w:firstLine="624"/>
      </w:pPr>
      <w:r>
        <w:rPr>
          <w:spacing w:val="5"/>
        </w:rPr>
        <w:t>（一）文章体裁不限，字数原则上中小学生以</w:t>
      </w:r>
      <w:r>
        <w:rPr>
          <w:rFonts w:ascii="Times New Roman" w:hAnsi="Times New Roman" w:eastAsia="Times New Roman" w:cs="Times New Roman"/>
          <w:spacing w:val="4"/>
        </w:rPr>
        <w:t>500—1000</w:t>
      </w:r>
      <w:r>
        <w:rPr>
          <w:spacing w:val="4"/>
        </w:rPr>
        <w:t>字为宜，高校学生以</w:t>
      </w:r>
      <w:r>
        <w:rPr>
          <w:rFonts w:ascii="Times New Roman" w:hAnsi="Times New Roman" w:eastAsia="Times New Roman" w:cs="Times New Roman"/>
          <w:spacing w:val="4"/>
        </w:rPr>
        <w:t>1000—1500</w:t>
      </w:r>
      <w:r>
        <w:rPr>
          <w:spacing w:val="4"/>
        </w:rPr>
        <w:t>字为宜，作者、指导老师均不超过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人，要求观点政治正确，主题突出，内容真实，思想性、启迪性、</w:t>
      </w:r>
      <w:r>
        <w:rPr>
          <w:spacing w:val="14"/>
        </w:rPr>
        <w:t>可读性强。为确保评审公正，征文稿件内容、案</w:t>
      </w:r>
      <w:r>
        <w:rPr>
          <w:spacing w:val="13"/>
        </w:rPr>
        <w:t>例不能透露学校</w:t>
      </w:r>
      <w:r>
        <w:rPr>
          <w:spacing w:val="5"/>
        </w:rPr>
        <w:t>及参评选手的相关信息。</w:t>
      </w:r>
    </w:p>
    <w:p w14:paraId="2551E2E9">
      <w:pPr>
        <w:pStyle w:val="2"/>
        <w:spacing w:before="128" w:line="306" w:lineRule="auto"/>
        <w:ind w:left="12" w:right="33" w:firstLine="612"/>
      </w:pPr>
      <w:r>
        <w:rPr>
          <w:spacing w:val="14"/>
        </w:rPr>
        <w:t>（二）投稿作品须为原创，不得抄袭或套改，否则取消参评</w:t>
      </w:r>
      <w:r>
        <w:rPr>
          <w:spacing w:val="10"/>
        </w:rPr>
        <w:t>资格。如因抄袭、盗用他人作品等情况产生著作权纠纷，由作者</w:t>
      </w:r>
      <w:r>
        <w:rPr>
          <w:spacing w:val="6"/>
        </w:rPr>
        <w:t>和推荐学校自行负责。主办单位对作品拥有编辑使用、展览展示、</w:t>
      </w:r>
      <w:r>
        <w:rPr>
          <w:spacing w:val="13"/>
        </w:rPr>
        <w:t>刊登发布、结集出版等权利。其他媒体或者个人使用、转载或部</w:t>
      </w:r>
      <w:r>
        <w:rPr>
          <w:spacing w:val="8"/>
        </w:rPr>
        <w:t>分摘编获奖作品，须征得作者和主办单位同意。</w:t>
      </w:r>
    </w:p>
    <w:p w14:paraId="63F6F522">
      <w:pPr>
        <w:pStyle w:val="2"/>
        <w:spacing w:before="128" w:line="411" w:lineRule="exact"/>
        <w:ind w:left="624"/>
      </w:pPr>
      <w:r>
        <w:rPr>
          <w:spacing w:val="9"/>
          <w:position w:val="1"/>
        </w:rPr>
        <w:t>（三）参评作品须确保援引的法律法规的正</w:t>
      </w:r>
      <w:r>
        <w:rPr>
          <w:spacing w:val="8"/>
          <w:position w:val="1"/>
        </w:rPr>
        <w:t>确性。</w:t>
      </w:r>
    </w:p>
    <w:p w14:paraId="2963340D">
      <w:pPr>
        <w:spacing w:before="125" w:line="412" w:lineRule="exact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五、活动日程</w:t>
      </w:r>
    </w:p>
    <w:p w14:paraId="2242B804">
      <w:pPr>
        <w:pStyle w:val="2"/>
        <w:spacing w:before="93" w:line="318" w:lineRule="auto"/>
        <w:ind w:left="4" w:right="61" w:firstLine="620"/>
      </w:pPr>
      <w:r>
        <w:rPr>
          <w:spacing w:val="-15"/>
        </w:rPr>
        <w:t>（一）</w:t>
      </w:r>
      <w:r>
        <w:rPr>
          <w:rFonts w:ascii="Times New Roman" w:hAnsi="Times New Roman" w:eastAsia="Times New Roman" w:cs="Times New Roman"/>
          <w:spacing w:val="-15"/>
        </w:rPr>
        <w:t>2025</w:t>
      </w:r>
      <w:r>
        <w:rPr>
          <w:spacing w:val="-15"/>
        </w:rPr>
        <w:t>年</w:t>
      </w:r>
      <w:r>
        <w:rPr>
          <w:rFonts w:ascii="Times New Roman" w:hAnsi="Times New Roman" w:eastAsia="Times New Roman" w:cs="Times New Roman"/>
          <w:spacing w:val="-15"/>
        </w:rPr>
        <w:t>5</w:t>
      </w:r>
      <w:r>
        <w:rPr>
          <w:spacing w:val="-15"/>
        </w:rPr>
        <w:t>月</w:t>
      </w:r>
      <w:r>
        <w:rPr>
          <w:rFonts w:ascii="Times New Roman" w:hAnsi="Times New Roman" w:eastAsia="Times New Roman" w:cs="Times New Roman"/>
          <w:spacing w:val="-15"/>
        </w:rPr>
        <w:t>19</w:t>
      </w:r>
      <w:r>
        <w:rPr>
          <w:spacing w:val="-15"/>
        </w:rPr>
        <w:t>日</w:t>
      </w:r>
      <w:r>
        <w:rPr>
          <w:rFonts w:ascii="Times New Roman" w:hAnsi="Times New Roman" w:eastAsia="Times New Roman" w:cs="Times New Roman"/>
          <w:spacing w:val="-15"/>
        </w:rPr>
        <w:t>—6</w:t>
      </w:r>
      <w:r>
        <w:rPr>
          <w:spacing w:val="-15"/>
        </w:rPr>
        <w:t>月</w:t>
      </w:r>
      <w:r>
        <w:rPr>
          <w:rFonts w:hint="eastAsia"/>
          <w:spacing w:val="-15"/>
          <w:lang w:val="en-US" w:eastAsia="zh-CN"/>
        </w:rPr>
        <w:t>20</w:t>
      </w:r>
      <w:r>
        <w:rPr>
          <w:spacing w:val="-15"/>
        </w:rPr>
        <w:t>日提交作品，</w:t>
      </w:r>
      <w:r>
        <w:rPr>
          <w:rFonts w:ascii="Times New Roman" w:hAnsi="Times New Roman" w:eastAsia="Times New Roman" w:cs="Times New Roman"/>
          <w:spacing w:val="-15"/>
        </w:rPr>
        <w:t>6</w:t>
      </w:r>
      <w:r>
        <w:rPr>
          <w:spacing w:val="-15"/>
        </w:rPr>
        <w:t>月</w:t>
      </w:r>
      <w:r>
        <w:rPr>
          <w:rFonts w:ascii="Times New Roman" w:hAnsi="Times New Roman" w:eastAsia="Times New Roman" w:cs="Times New Roman"/>
          <w:spacing w:val="-15"/>
        </w:rPr>
        <w:t>20</w:t>
      </w:r>
      <w:r>
        <w:rPr>
          <w:spacing w:val="-15"/>
        </w:rPr>
        <w:t>日</w:t>
      </w:r>
      <w:r>
        <w:rPr>
          <w:rFonts w:ascii="Times New Roman" w:hAnsi="Times New Roman" w:eastAsia="Times New Roman" w:cs="Times New Roman"/>
          <w:spacing w:val="-15"/>
        </w:rPr>
        <w:t>18</w:t>
      </w:r>
      <w:r>
        <w:rPr>
          <w:spacing w:val="-15"/>
        </w:rPr>
        <w:t>：</w:t>
      </w:r>
      <w:r>
        <w:rPr>
          <w:rFonts w:hint="eastAsia"/>
          <w:spacing w:val="-15"/>
          <w:lang w:val="en-US" w:eastAsia="zh-CN"/>
        </w:rPr>
        <w:t>00</w:t>
      </w:r>
      <w:r>
        <w:rPr>
          <w:spacing w:val="-2"/>
        </w:rPr>
        <w:t>截止。</w:t>
      </w:r>
    </w:p>
    <w:p w14:paraId="75EB7560">
      <w:pPr>
        <w:pStyle w:val="2"/>
        <w:spacing w:before="13" w:line="419" w:lineRule="exact"/>
        <w:ind w:left="624"/>
      </w:pPr>
      <w:r>
        <w:rPr>
          <w:spacing w:val="-4"/>
          <w:position w:val="2"/>
        </w:rPr>
        <w:t>（二）</w:t>
      </w:r>
      <w:r>
        <w:rPr>
          <w:rFonts w:ascii="Times New Roman" w:hAnsi="Times New Roman" w:eastAsia="Times New Roman" w:cs="Times New Roman"/>
          <w:spacing w:val="-4"/>
          <w:position w:val="2"/>
        </w:rPr>
        <w:t>2025</w:t>
      </w:r>
      <w:r>
        <w:rPr>
          <w:spacing w:val="-4"/>
          <w:position w:val="2"/>
        </w:rPr>
        <w:t>年</w:t>
      </w:r>
      <w:r>
        <w:rPr>
          <w:rFonts w:ascii="Times New Roman" w:hAnsi="Times New Roman" w:eastAsia="Times New Roman" w:cs="Times New Roman"/>
          <w:spacing w:val="-4"/>
          <w:position w:val="2"/>
        </w:rPr>
        <w:t>6</w:t>
      </w:r>
      <w:r>
        <w:rPr>
          <w:spacing w:val="-4"/>
          <w:position w:val="2"/>
        </w:rPr>
        <w:t>月</w:t>
      </w:r>
      <w:r>
        <w:rPr>
          <w:rFonts w:ascii="Times New Roman" w:hAnsi="Times New Roman" w:eastAsia="Times New Roman" w:cs="Times New Roman"/>
          <w:spacing w:val="-4"/>
          <w:position w:val="2"/>
        </w:rPr>
        <w:t>26</w:t>
      </w:r>
      <w:r>
        <w:rPr>
          <w:spacing w:val="-4"/>
          <w:position w:val="2"/>
        </w:rPr>
        <w:t>日</w:t>
      </w:r>
      <w:r>
        <w:rPr>
          <w:rFonts w:ascii="Times New Roman" w:hAnsi="Times New Roman" w:eastAsia="Times New Roman" w:cs="Times New Roman"/>
          <w:spacing w:val="-4"/>
          <w:position w:val="2"/>
        </w:rPr>
        <w:t>—7</w:t>
      </w:r>
      <w:r>
        <w:rPr>
          <w:spacing w:val="-4"/>
          <w:position w:val="2"/>
        </w:rPr>
        <w:t>月</w:t>
      </w:r>
      <w:r>
        <w:rPr>
          <w:rFonts w:ascii="Times New Roman" w:hAnsi="Times New Roman" w:eastAsia="Times New Roman" w:cs="Times New Roman"/>
          <w:spacing w:val="-4"/>
          <w:position w:val="2"/>
        </w:rPr>
        <w:t>1</w:t>
      </w:r>
      <w:r>
        <w:rPr>
          <w:rFonts w:ascii="Times New Roman" w:hAnsi="Times New Roman" w:eastAsia="Times New Roman" w:cs="Times New Roman"/>
          <w:spacing w:val="-5"/>
          <w:position w:val="2"/>
        </w:rPr>
        <w:t>1</w:t>
      </w:r>
      <w:r>
        <w:rPr>
          <w:spacing w:val="-5"/>
          <w:position w:val="2"/>
        </w:rPr>
        <w:t>日，线上评比。</w:t>
      </w:r>
    </w:p>
    <w:p w14:paraId="6F6FA249">
      <w:pPr>
        <w:pStyle w:val="2"/>
        <w:spacing w:before="120" w:line="324" w:lineRule="auto"/>
        <w:ind w:left="15" w:right="158" w:firstLine="609"/>
      </w:pPr>
      <w:r>
        <w:rPr>
          <w:spacing w:val="2"/>
        </w:rPr>
        <w:t>（三）</w:t>
      </w:r>
      <w:r>
        <w:rPr>
          <w:rFonts w:ascii="Times New Roman" w:hAnsi="Times New Roman" w:eastAsia="Times New Roman" w:cs="Times New Roman"/>
          <w:spacing w:val="2"/>
        </w:rPr>
        <w:t>2025</w:t>
      </w:r>
      <w:r>
        <w:rPr>
          <w:spacing w:val="2"/>
        </w:rPr>
        <w:t>年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spacing w:val="2"/>
        </w:rPr>
        <w:t>月</w:t>
      </w:r>
      <w:r>
        <w:rPr>
          <w:rFonts w:ascii="Times New Roman" w:hAnsi="Times New Roman" w:eastAsia="Times New Roman" w:cs="Times New Roman"/>
          <w:spacing w:val="2"/>
        </w:rPr>
        <w:t>22</w:t>
      </w:r>
      <w:r>
        <w:rPr>
          <w:spacing w:val="2"/>
        </w:rPr>
        <w:t>日，在广西广播电视台</w:t>
      </w:r>
      <w:r>
        <w:rPr>
          <w:rFonts w:ascii="Times New Roman" w:hAnsi="Times New Roman" w:eastAsia="Times New Roman" w:cs="Times New Roman"/>
          <w:spacing w:val="2"/>
        </w:rPr>
        <w:t>1000</w:t>
      </w:r>
      <w:r>
        <w:rPr>
          <w:spacing w:val="2"/>
        </w:rPr>
        <w:t>平演播厅</w:t>
      </w:r>
      <w:r>
        <w:rPr>
          <w:spacing w:val="-2"/>
        </w:rPr>
        <w:t>颁奖</w:t>
      </w:r>
      <w:r>
        <w:rPr>
          <w:rFonts w:hint="eastAsia"/>
          <w:spacing w:val="-2"/>
          <w:lang w:eastAsia="zh-CN"/>
        </w:rPr>
        <w:t>。</w:t>
      </w:r>
    </w:p>
    <w:p w14:paraId="48D952F4">
      <w:pPr>
        <w:spacing w:before="27" w:line="413" w:lineRule="exact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六、报送相关要求</w:t>
      </w:r>
    </w:p>
    <w:p w14:paraId="3AE0B6BD">
      <w:pPr>
        <w:pStyle w:val="2"/>
        <w:spacing w:before="128" w:line="321" w:lineRule="auto"/>
        <w:ind w:left="7" w:firstLine="644"/>
        <w:jc w:val="both"/>
      </w:pPr>
      <w:r>
        <w:rPr>
          <w:spacing w:val="19"/>
        </w:rPr>
        <w:t>各地各校活动负责人登录“桂教通”平台，在“教育管理”</w:t>
      </w:r>
      <w:r>
        <w:rPr>
          <w:spacing w:val="13"/>
        </w:rPr>
        <w:t>菜单中，点击“法治教育专题”专题界面，在“精彩活动”中</w:t>
      </w:r>
      <w:r>
        <w:rPr>
          <w:rFonts w:hint="eastAsia"/>
          <w:spacing w:val="13"/>
          <w:lang w:eastAsia="zh-CN"/>
        </w:rPr>
        <w:t>，</w:t>
      </w:r>
      <w:r>
        <w:rPr>
          <w:spacing w:val="2"/>
        </w:rPr>
        <w:t>进入对应征文活动界面进行报名。活动负责人由各地、各学校“桂</w:t>
      </w:r>
      <w:r>
        <w:rPr>
          <w:spacing w:val="13"/>
        </w:rPr>
        <w:t>教通管理员”将其设置为“赛事活动应用业务管理员”来完成角色授权。中小学（含市属中职学校）活动负责人根据操作指南和</w:t>
      </w:r>
      <w:r>
        <w:rPr>
          <w:spacing w:val="19"/>
        </w:rPr>
        <w:t>各地要求于截止时间前将参评作品及相关材料上传至“桂教通”</w:t>
      </w:r>
      <w:r>
        <w:rPr>
          <w:spacing w:val="5"/>
        </w:rPr>
        <w:t>平台。中小学（含市属中职学校）由学校推荐，市、县（市、区）</w:t>
      </w:r>
      <w:r>
        <w:rPr>
          <w:spacing w:val="14"/>
        </w:rPr>
        <w:t>教育局逐级审核汇总推荐，各高校和区直各中职学校</w:t>
      </w:r>
      <w:r>
        <w:rPr>
          <w:spacing w:val="13"/>
        </w:rPr>
        <w:t>直接审核推</w:t>
      </w:r>
      <w:r>
        <w:rPr>
          <w:spacing w:val="5"/>
        </w:rPr>
        <w:t>荐。各设区市教育局、各高校和区直各中职学校应于</w:t>
      </w:r>
      <w:r>
        <w:rPr>
          <w:rFonts w:ascii="Times New Roman" w:hAnsi="Times New Roman" w:eastAsia="Times New Roman" w:cs="Times New Roman"/>
          <w:spacing w:val="5"/>
        </w:rPr>
        <w:t>2025</w:t>
      </w:r>
      <w:r>
        <w:rPr>
          <w:spacing w:val="4"/>
        </w:rPr>
        <w:t>年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spacing w:val="4"/>
        </w:rPr>
        <w:t>月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spacing w:val="-2"/>
        </w:rPr>
        <w:t>日</w:t>
      </w:r>
      <w:r>
        <w:rPr>
          <w:rFonts w:ascii="Times New Roman" w:hAnsi="Times New Roman" w:eastAsia="Times New Roman" w:cs="Times New Roman"/>
          <w:spacing w:val="-2"/>
        </w:rPr>
        <w:t>18:00</w:t>
      </w:r>
      <w:r>
        <w:rPr>
          <w:spacing w:val="-2"/>
        </w:rPr>
        <w:t>前完成审核汇总推荐。</w:t>
      </w:r>
    </w:p>
    <w:p w14:paraId="49F3391C">
      <w:pPr>
        <w:pStyle w:val="2"/>
        <w:spacing w:line="323" w:lineRule="auto"/>
        <w:ind w:left="13" w:right="187" w:firstLine="639"/>
      </w:pPr>
      <w:r>
        <w:rPr>
          <w:spacing w:val="5"/>
        </w:rPr>
        <w:t>未尽事宜请咨询联系：覃明菲老师，电话：</w:t>
      </w:r>
      <w:r>
        <w:rPr>
          <w:rFonts w:ascii="Times New Roman" w:hAnsi="Times New Roman" w:eastAsia="Times New Roman" w:cs="Times New Roman"/>
          <w:spacing w:val="5"/>
        </w:rPr>
        <w:t>19195991566</w:t>
      </w:r>
      <w:r>
        <w:rPr>
          <w:spacing w:val="5"/>
        </w:rPr>
        <w:t>（微</w:t>
      </w:r>
      <w:r>
        <w:rPr>
          <w:spacing w:val="18"/>
        </w:rPr>
        <w:t xml:space="preserve"> </w:t>
      </w:r>
      <w:r>
        <w:rPr>
          <w:spacing w:val="-3"/>
        </w:rPr>
        <w:t>信同号）。</w:t>
      </w:r>
    </w:p>
    <w:p w14:paraId="1AAE5853">
      <w:pPr>
        <w:spacing w:before="27" w:line="413" w:lineRule="exact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七、奖项设置及评分规则</w:t>
      </w:r>
    </w:p>
    <w:p w14:paraId="202C0DB7">
      <w:pPr>
        <w:pStyle w:val="2"/>
        <w:spacing w:before="130" w:line="297" w:lineRule="auto"/>
        <w:ind w:left="25" w:right="194" w:firstLine="599"/>
      </w:pPr>
      <w:r>
        <w:rPr>
          <w:spacing w:val="10"/>
        </w:rPr>
        <w:t>（一）征文活动分小学组、初中组、高中组和高校组进行评</w:t>
      </w:r>
      <w:r>
        <w:rPr>
          <w:spacing w:val="11"/>
        </w:rPr>
        <w:t>奖，两个题组分别根据作品征集情况按一定比例评选出一、二、</w:t>
      </w:r>
      <w:r>
        <w:rPr>
          <w:spacing w:val="3"/>
        </w:rPr>
        <w:t>三等奖和优秀奖若干名。</w:t>
      </w:r>
    </w:p>
    <w:p w14:paraId="0CEF7987">
      <w:pPr>
        <w:pStyle w:val="2"/>
        <w:spacing w:before="126" w:line="296" w:lineRule="auto"/>
        <w:ind w:left="7" w:right="166" w:firstLine="617"/>
      </w:pPr>
      <w:r>
        <w:rPr>
          <w:spacing w:val="11"/>
        </w:rPr>
        <w:t>（二）评比采取百分制，</w:t>
      </w:r>
      <w:r>
        <w:rPr>
          <w:spacing w:val="-73"/>
        </w:rPr>
        <w:t xml:space="preserve"> </w:t>
      </w:r>
      <w:r>
        <w:rPr>
          <w:spacing w:val="11"/>
        </w:rPr>
        <w:t>由专家评委打分，结果取平均分，</w:t>
      </w:r>
      <w:r>
        <w:rPr>
          <w:spacing w:val="13"/>
        </w:rPr>
        <w:t>从法治主题、故事情节、语言和文字水平、宣传教育效果等方面</w:t>
      </w:r>
      <w:r>
        <w:rPr>
          <w:spacing w:val="3"/>
        </w:rPr>
        <w:t>进行综合评分。</w:t>
      </w:r>
    </w:p>
    <w:sectPr>
      <w:footerReference r:id="rId5" w:type="default"/>
      <w:pgSz w:w="11906" w:h="16839"/>
      <w:pgMar w:top="1431" w:right="1419" w:bottom="1394" w:left="1403" w:header="0" w:footer="10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623BA">
    <w:pPr>
      <w:spacing w:line="233" w:lineRule="auto"/>
      <w:ind w:left="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751AD8"/>
    <w:rsid w:val="035A2277"/>
    <w:rsid w:val="09F4422A"/>
    <w:rsid w:val="1F5D3A84"/>
    <w:rsid w:val="27457A1B"/>
    <w:rsid w:val="2E3A5EDB"/>
    <w:rsid w:val="40077B0C"/>
    <w:rsid w:val="40356427"/>
    <w:rsid w:val="40E13EB9"/>
    <w:rsid w:val="563829EB"/>
    <w:rsid w:val="586E2428"/>
    <w:rsid w:val="59630600"/>
    <w:rsid w:val="5CDF179C"/>
    <w:rsid w:val="6310019E"/>
    <w:rsid w:val="65B31A18"/>
    <w:rsid w:val="72EB27F1"/>
    <w:rsid w:val="77E479BD"/>
    <w:rsid w:val="7AFC5B25"/>
    <w:rsid w:val="7B197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55"/>
      <w:szCs w:val="5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1683</Words>
  <Characters>1759</Characters>
  <TotalTime>34</TotalTime>
  <ScaleCrop>false</ScaleCrop>
  <LinksUpToDate>false</LinksUpToDate>
  <CharactersWithSpaces>1766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2025-05-20T10:59:00Z</dcterms:created>
  <dc:creator>行走厨房</dc:creator>
  <cp:lastModifiedBy>大鱼</cp:lastModifiedBy>
  <dcterms:modified xsi:type="dcterms:W3CDTF">2025-06-06T03:20:42Z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2025-06-05T14:46:00Z</vt:filetime>
  </property>
  <property fmtid="{D5CDD505-2E9C-101B-9397-08002B2CF9AE}" pid="4" name="KSOTemplateDocerSaveRecord">
    <vt:lpwstr>eyJoZGlkIjoiMDM0MjBiOTY0ZjBhY2M3ZTQxZTljMDk3Yzk3MTBjNmMiLCJ1c2VySWQiOiI1MjQzMzc1OTEifQ==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B391361ACA8D4B4FAD162F7C27D3B135_13</vt:lpwstr>
  </property>
</Properties>
</file>