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8" w:line="223" w:lineRule="auto"/>
        <w:rPr>
          <w:rFonts w:hint="default" w:ascii="Times New Roman" w:hAnsi="Times New Roman" w:eastAsia="黑体" w:cs="Times New Roman"/>
          <w:sz w:val="30"/>
          <w:szCs w:val="30"/>
          <w:lang w:eastAsia="zh-CN"/>
        </w:rPr>
      </w:pPr>
      <w:bookmarkStart w:id="0" w:name="_GoBack"/>
      <w:r>
        <w:rPr>
          <w:rFonts w:hint="default" w:ascii="Times New Roman" w:hAnsi="Times New Roman" w:eastAsia="黑体" w:cs="Times New Roman"/>
          <w:sz w:val="30"/>
          <w:szCs w:val="30"/>
          <w:lang w:eastAsia="zh-CN"/>
        </w:rPr>
        <w:t>附件3</w:t>
      </w:r>
    </w:p>
    <w:bookmarkEnd w:id="0"/>
    <w:p>
      <w:pPr>
        <w:spacing w:before="159" w:line="218" w:lineRule="auto"/>
        <w:ind w:left="2822"/>
        <w:outlineLvl w:val="0"/>
        <w:rPr>
          <w:rFonts w:ascii="黑体" w:hAnsi="黑体" w:eastAsia="黑体" w:cs="黑体"/>
          <w:sz w:val="40"/>
          <w:szCs w:val="40"/>
          <w:lang w:eastAsia="zh-CN"/>
        </w:rPr>
      </w:pPr>
      <w:r>
        <w:rPr>
          <w:rFonts w:ascii="黑体" w:hAnsi="黑体" w:eastAsia="黑体" w:cs="黑体"/>
          <w:b/>
          <w:bCs/>
          <w:spacing w:val="1"/>
          <w:sz w:val="40"/>
          <w:szCs w:val="40"/>
          <w:lang w:eastAsia="zh-CN"/>
        </w:rPr>
        <w:t>高等学校实验室安全检查项目表(2024年)</w:t>
      </w:r>
    </w:p>
    <w:p>
      <w:pPr>
        <w:spacing w:line="65" w:lineRule="exact"/>
        <w:rPr>
          <w:lang w:eastAsia="zh-CN"/>
        </w:rPr>
      </w:pPr>
    </w:p>
    <w:tbl>
      <w:tblPr>
        <w:tblStyle w:val="6"/>
        <w:tblW w:w="14459" w:type="dxa"/>
        <w:tblInd w:w="-8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3546"/>
        <w:gridCol w:w="8078"/>
        <w:gridCol w:w="2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09" w:type="dxa"/>
            <w:vAlign w:val="center"/>
          </w:tcPr>
          <w:p>
            <w:pPr>
              <w:pStyle w:val="7"/>
              <w:spacing w:before="49" w:line="212" w:lineRule="auto"/>
              <w:ind w:left="37"/>
              <w:jc w:val="center"/>
              <w:rPr>
                <w:rFonts w:ascii="黑体" w:hAnsi="黑体" w:eastAsia="黑体"/>
                <w:sz w:val="21"/>
                <w:szCs w:val="21"/>
              </w:rPr>
            </w:pPr>
            <w:r>
              <w:rPr>
                <w:rFonts w:ascii="黑体" w:hAnsi="黑体" w:eastAsia="黑体"/>
                <w:b/>
                <w:bCs/>
                <w:spacing w:val="-5"/>
                <w:sz w:val="21"/>
                <w:szCs w:val="21"/>
              </w:rPr>
              <w:t>序号</w:t>
            </w:r>
          </w:p>
        </w:tc>
        <w:tc>
          <w:tcPr>
            <w:tcW w:w="3546" w:type="dxa"/>
            <w:vAlign w:val="center"/>
          </w:tcPr>
          <w:p>
            <w:pPr>
              <w:pStyle w:val="7"/>
              <w:spacing w:before="49" w:line="212" w:lineRule="auto"/>
              <w:ind w:left="60"/>
              <w:jc w:val="center"/>
              <w:rPr>
                <w:rFonts w:ascii="黑体" w:hAnsi="黑体" w:eastAsia="黑体"/>
                <w:sz w:val="21"/>
                <w:szCs w:val="21"/>
              </w:rPr>
            </w:pPr>
            <w:r>
              <w:rPr>
                <w:rFonts w:ascii="黑体" w:hAnsi="黑体" w:eastAsia="黑体"/>
                <w:b/>
                <w:bCs/>
                <w:spacing w:val="1"/>
                <w:sz w:val="21"/>
                <w:szCs w:val="21"/>
              </w:rPr>
              <w:t>检查项目</w:t>
            </w:r>
          </w:p>
        </w:tc>
        <w:tc>
          <w:tcPr>
            <w:tcW w:w="8078" w:type="dxa"/>
            <w:vAlign w:val="center"/>
          </w:tcPr>
          <w:p>
            <w:pPr>
              <w:pStyle w:val="7"/>
              <w:spacing w:before="49" w:line="212" w:lineRule="auto"/>
              <w:ind w:left="54"/>
              <w:jc w:val="center"/>
              <w:rPr>
                <w:rFonts w:ascii="黑体" w:hAnsi="黑体" w:eastAsia="黑体"/>
                <w:sz w:val="21"/>
                <w:szCs w:val="21"/>
              </w:rPr>
            </w:pPr>
            <w:r>
              <w:rPr>
                <w:rFonts w:ascii="黑体" w:hAnsi="黑体" w:eastAsia="黑体"/>
                <w:b/>
                <w:bCs/>
                <w:spacing w:val="-5"/>
                <w:sz w:val="21"/>
                <w:szCs w:val="21"/>
              </w:rPr>
              <w:t>检查要点</w:t>
            </w:r>
          </w:p>
        </w:tc>
        <w:tc>
          <w:tcPr>
            <w:tcW w:w="2126" w:type="dxa"/>
            <w:vAlign w:val="center"/>
          </w:tcPr>
          <w:p>
            <w:pPr>
              <w:pStyle w:val="7"/>
              <w:spacing w:before="49" w:line="212" w:lineRule="auto"/>
              <w:ind w:left="72"/>
              <w:jc w:val="center"/>
              <w:rPr>
                <w:rFonts w:ascii="黑体" w:hAnsi="黑体" w:eastAsia="黑体"/>
                <w:sz w:val="21"/>
                <w:szCs w:val="21"/>
              </w:rPr>
            </w:pPr>
            <w:r>
              <w:rPr>
                <w:rFonts w:ascii="黑体" w:hAnsi="黑体" w:eastAsia="黑体"/>
                <w:b/>
                <w:bCs/>
                <w:spacing w:val="-5"/>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709" w:type="dxa"/>
            <w:vAlign w:val="center"/>
          </w:tcPr>
          <w:p>
            <w:pPr>
              <w:pStyle w:val="7"/>
              <w:spacing w:before="76" w:line="172" w:lineRule="auto"/>
              <w:ind w:left="48"/>
              <w:jc w:val="both"/>
              <w:rPr>
                <w:rFonts w:ascii="Times New Roman" w:hAnsi="Times New Roman" w:cs="Times New Roman"/>
                <w:sz w:val="21"/>
                <w:szCs w:val="21"/>
              </w:rPr>
            </w:pPr>
            <w:r>
              <w:rPr>
                <w:rFonts w:ascii="Times New Roman" w:hAnsi="Times New Roman" w:cs="Times New Roman"/>
                <w:sz w:val="21"/>
                <w:szCs w:val="21"/>
              </w:rPr>
              <w:t>1</w:t>
            </w:r>
          </w:p>
        </w:tc>
        <w:tc>
          <w:tcPr>
            <w:tcW w:w="13750" w:type="dxa"/>
            <w:gridSpan w:val="3"/>
            <w:vAlign w:val="center"/>
          </w:tcPr>
          <w:p>
            <w:pPr>
              <w:pStyle w:val="7"/>
              <w:spacing w:before="37" w:line="212" w:lineRule="auto"/>
              <w:ind w:left="57"/>
              <w:jc w:val="both"/>
              <w:rPr>
                <w:rFonts w:ascii="仿宋" w:hAnsi="仿宋" w:eastAsia="仿宋"/>
                <w:sz w:val="21"/>
                <w:szCs w:val="21"/>
              </w:rPr>
            </w:pPr>
            <w:r>
              <w:rPr>
                <w:rFonts w:ascii="仿宋" w:hAnsi="仿宋" w:eastAsia="仿宋"/>
                <w:b/>
                <w:bCs/>
                <w:spacing w:val="-4"/>
                <w:sz w:val="21"/>
                <w:szCs w:val="21"/>
              </w:rPr>
              <w:t>责任体系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709" w:type="dxa"/>
            <w:vAlign w:val="center"/>
          </w:tcPr>
          <w:p>
            <w:pPr>
              <w:pStyle w:val="7"/>
              <w:spacing w:before="101" w:line="179" w:lineRule="auto"/>
              <w:ind w:left="51"/>
              <w:jc w:val="both"/>
              <w:rPr>
                <w:rFonts w:ascii="Times New Roman" w:hAnsi="Times New Roman" w:cs="Times New Roman"/>
                <w:sz w:val="21"/>
                <w:szCs w:val="21"/>
              </w:rPr>
            </w:pPr>
            <w:r>
              <w:rPr>
                <w:rFonts w:ascii="Times New Roman" w:hAnsi="Times New Roman" w:cs="Times New Roman"/>
                <w:b/>
                <w:bCs/>
                <w:spacing w:val="-10"/>
                <w:sz w:val="21"/>
                <w:szCs w:val="21"/>
              </w:rPr>
              <w:t>1.1</w:t>
            </w:r>
          </w:p>
        </w:tc>
        <w:tc>
          <w:tcPr>
            <w:tcW w:w="13750" w:type="dxa"/>
            <w:gridSpan w:val="3"/>
            <w:vAlign w:val="center"/>
          </w:tcPr>
          <w:p>
            <w:pPr>
              <w:pStyle w:val="7"/>
              <w:spacing w:before="54" w:line="220" w:lineRule="auto"/>
              <w:ind w:left="54"/>
              <w:jc w:val="both"/>
              <w:rPr>
                <w:rFonts w:ascii="仿宋" w:hAnsi="仿宋" w:eastAsia="仿宋"/>
                <w:sz w:val="21"/>
                <w:szCs w:val="21"/>
                <w:lang w:eastAsia="zh-CN"/>
              </w:rPr>
            </w:pPr>
            <w:r>
              <w:rPr>
                <w:rFonts w:ascii="仿宋" w:hAnsi="仿宋" w:eastAsia="仿宋"/>
                <w:b/>
                <w:bCs/>
                <w:spacing w:val="-3"/>
                <w:sz w:val="21"/>
                <w:szCs w:val="21"/>
                <w:lang w:eastAsia="zh-CN"/>
              </w:rPr>
              <w:t>学校层面安全贵任体系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09" w:type="dxa"/>
            <w:vAlign w:val="center"/>
          </w:tcPr>
          <w:p>
            <w:pPr>
              <w:pStyle w:val="7"/>
              <w:spacing w:before="225"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1.1.1</w:t>
            </w:r>
          </w:p>
        </w:tc>
        <w:tc>
          <w:tcPr>
            <w:tcW w:w="3546" w:type="dxa"/>
            <w:vAlign w:val="center"/>
          </w:tcPr>
          <w:p>
            <w:pPr>
              <w:pStyle w:val="7"/>
              <w:spacing w:before="176" w:line="219" w:lineRule="auto"/>
              <w:ind w:left="62"/>
              <w:jc w:val="both"/>
              <w:rPr>
                <w:rFonts w:ascii="仿宋" w:hAnsi="仿宋" w:eastAsia="仿宋"/>
                <w:sz w:val="21"/>
                <w:szCs w:val="21"/>
                <w:lang w:eastAsia="zh-CN"/>
              </w:rPr>
            </w:pPr>
            <w:r>
              <w:rPr>
                <w:rFonts w:ascii="仿宋" w:hAnsi="仿宋" w:eastAsia="仿宋"/>
                <w:spacing w:val="-1"/>
                <w:sz w:val="21"/>
                <w:szCs w:val="21"/>
                <w:lang w:eastAsia="zh-CN"/>
              </w:rPr>
              <w:t>实验室安全工作纳入学校决策研究事项</w:t>
            </w:r>
          </w:p>
        </w:tc>
        <w:tc>
          <w:tcPr>
            <w:tcW w:w="8078" w:type="dxa"/>
            <w:vAlign w:val="center"/>
          </w:tcPr>
          <w:p>
            <w:pPr>
              <w:pStyle w:val="7"/>
              <w:spacing w:before="68" w:line="228" w:lineRule="auto"/>
              <w:ind w:right="461"/>
              <w:jc w:val="both"/>
              <w:rPr>
                <w:rFonts w:ascii="仿宋" w:hAnsi="仿宋" w:eastAsia="仿宋"/>
                <w:sz w:val="21"/>
                <w:szCs w:val="21"/>
                <w:lang w:eastAsia="zh-CN"/>
              </w:rPr>
            </w:pPr>
            <w:r>
              <w:rPr>
                <w:rFonts w:ascii="仿宋" w:hAnsi="仿宋" w:eastAsia="仿宋"/>
                <w:spacing w:val="-1"/>
                <w:sz w:val="21"/>
                <w:szCs w:val="21"/>
                <w:lang w:eastAsia="zh-CN"/>
              </w:rPr>
              <w:t>(1)有学校相关会议(校务会议、党委常委会会议等)纪要；内容包含实验室</w:t>
            </w:r>
            <w:r>
              <w:rPr>
                <w:rFonts w:ascii="仿宋" w:hAnsi="仿宋" w:eastAsia="仿宋"/>
                <w:spacing w:val="-2"/>
                <w:sz w:val="21"/>
                <w:szCs w:val="21"/>
                <w:lang w:eastAsia="zh-CN"/>
              </w:rPr>
              <w:t>安全工作</w:t>
            </w:r>
            <w:r>
              <w:rPr>
                <w:rFonts w:hint="eastAsia" w:ascii="仿宋" w:hAnsi="仿宋" w:eastAsia="仿宋"/>
                <w:spacing w:val="-2"/>
                <w:sz w:val="21"/>
                <w:szCs w:val="21"/>
                <w:lang w:eastAsia="zh-CN"/>
              </w:rPr>
              <w:t>。</w:t>
            </w:r>
          </w:p>
        </w:tc>
        <w:tc>
          <w:tcPr>
            <w:tcW w:w="2126" w:type="dxa"/>
            <w:vAlign w:val="center"/>
          </w:tcPr>
          <w:p>
            <w:pPr>
              <w:jc w:val="both"/>
              <w:rPr>
                <w:rFonts w:ascii="仿宋" w:hAnsi="仿宋" w:eastAsia="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709" w:type="dxa"/>
            <w:vAlign w:val="center"/>
          </w:tcPr>
          <w:p>
            <w:pPr>
              <w:pStyle w:val="7"/>
              <w:spacing w:before="58"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1.1.2</w:t>
            </w:r>
          </w:p>
        </w:tc>
        <w:tc>
          <w:tcPr>
            <w:tcW w:w="3546" w:type="dxa"/>
            <w:vAlign w:val="center"/>
          </w:tcPr>
          <w:p>
            <w:pPr>
              <w:pStyle w:val="7"/>
              <w:spacing w:before="59" w:line="225" w:lineRule="auto"/>
              <w:ind w:left="57" w:right="300" w:firstLine="1"/>
              <w:jc w:val="both"/>
              <w:rPr>
                <w:rFonts w:ascii="仿宋" w:hAnsi="仿宋" w:eastAsia="仿宋"/>
                <w:sz w:val="21"/>
                <w:szCs w:val="21"/>
                <w:lang w:eastAsia="zh-CN"/>
              </w:rPr>
            </w:pPr>
            <w:r>
              <w:rPr>
                <w:rFonts w:ascii="仿宋" w:hAnsi="仿宋" w:eastAsia="仿宋"/>
                <w:spacing w:val="-2"/>
                <w:sz w:val="21"/>
                <w:szCs w:val="21"/>
                <w:lang w:eastAsia="zh-CN"/>
              </w:rPr>
              <w:t>有校级实验室安全工作责任人与领导</w:t>
            </w:r>
            <w:r>
              <w:rPr>
                <w:rFonts w:ascii="仿宋" w:hAnsi="仿宋" w:eastAsia="仿宋"/>
                <w:spacing w:val="-4"/>
                <w:sz w:val="21"/>
                <w:szCs w:val="21"/>
                <w:lang w:eastAsia="zh-CN"/>
              </w:rPr>
              <w:t>机构</w:t>
            </w:r>
          </w:p>
        </w:tc>
        <w:tc>
          <w:tcPr>
            <w:tcW w:w="8078" w:type="dxa"/>
            <w:vAlign w:val="center"/>
          </w:tcPr>
          <w:p>
            <w:pPr>
              <w:pStyle w:val="7"/>
              <w:spacing w:before="86" w:line="248" w:lineRule="auto"/>
              <w:ind w:left="41" w:right="205"/>
              <w:jc w:val="both"/>
              <w:rPr>
                <w:rFonts w:ascii="仿宋" w:hAnsi="仿宋" w:eastAsia="仿宋"/>
                <w:sz w:val="21"/>
                <w:szCs w:val="21"/>
                <w:lang w:eastAsia="zh-CN"/>
              </w:rPr>
            </w:pPr>
            <w:r>
              <w:rPr>
                <w:rFonts w:ascii="仿宋" w:hAnsi="仿宋" w:eastAsia="仿宋"/>
                <w:spacing w:val="1"/>
                <w:sz w:val="21"/>
                <w:szCs w:val="21"/>
                <w:lang w:eastAsia="zh-CN"/>
              </w:rPr>
              <w:t>(2)有校级正式发文，明确学校党政主要负责人是第一责任人；分管实验室安全工</w:t>
            </w:r>
            <w:r>
              <w:rPr>
                <w:rFonts w:ascii="仿宋" w:hAnsi="仿宋" w:eastAsia="仿宋"/>
                <w:spacing w:val="2"/>
                <w:sz w:val="21"/>
                <w:szCs w:val="21"/>
                <w:lang w:eastAsia="zh-CN"/>
              </w:rPr>
              <w:t>作的校领导是重要领导责任人，协助第一责任人负责实验室安全工作；其</w:t>
            </w:r>
            <w:r>
              <w:rPr>
                <w:rFonts w:ascii="仿宋" w:hAnsi="仿宋" w:eastAsia="仿宋"/>
                <w:spacing w:val="1"/>
                <w:sz w:val="21"/>
                <w:szCs w:val="21"/>
                <w:lang w:eastAsia="zh-CN"/>
              </w:rPr>
              <w:t>他校领导</w:t>
            </w:r>
            <w:r>
              <w:rPr>
                <w:rFonts w:ascii="仿宋" w:hAnsi="仿宋" w:eastAsia="仿宋"/>
                <w:spacing w:val="2"/>
                <w:sz w:val="21"/>
                <w:szCs w:val="21"/>
                <w:lang w:eastAsia="zh-CN"/>
              </w:rPr>
              <w:t>在分管工作范围内对实验室安全工作负有支持、监督和指导职责</w:t>
            </w:r>
            <w:r>
              <w:rPr>
                <w:rFonts w:ascii="仿宋" w:hAnsi="仿宋" w:eastAsia="仿宋"/>
                <w:spacing w:val="1"/>
                <w:sz w:val="21"/>
                <w:szCs w:val="21"/>
                <w:lang w:eastAsia="zh-CN"/>
              </w:rPr>
              <w:t>；设立校级领导机</w:t>
            </w:r>
            <w:r>
              <w:rPr>
                <w:rFonts w:ascii="仿宋" w:hAnsi="仿宋" w:eastAsia="仿宋"/>
                <w:sz w:val="21"/>
                <w:szCs w:val="21"/>
                <w:lang w:eastAsia="zh-CN"/>
              </w:rPr>
              <w:t>构，明确其部门组成和工作职责，分管实验室安全工作的校领</w:t>
            </w:r>
            <w:r>
              <w:rPr>
                <w:rFonts w:ascii="仿宋" w:hAnsi="仿宋" w:eastAsia="仿宋"/>
                <w:spacing w:val="-1"/>
                <w:sz w:val="21"/>
                <w:szCs w:val="21"/>
                <w:lang w:eastAsia="zh-CN"/>
              </w:rPr>
              <w:t>导为该机构负责人</w:t>
            </w:r>
            <w:r>
              <w:rPr>
                <w:rFonts w:hint="eastAsia" w:ascii="仿宋" w:hAnsi="仿宋" w:eastAsia="仿宋"/>
                <w:spacing w:val="-1"/>
                <w:sz w:val="21"/>
                <w:szCs w:val="21"/>
                <w:lang w:eastAsia="zh-CN"/>
              </w:rPr>
              <w:t>。</w:t>
            </w:r>
          </w:p>
        </w:tc>
        <w:tc>
          <w:tcPr>
            <w:tcW w:w="2126" w:type="dxa"/>
            <w:vAlign w:val="center"/>
          </w:tcPr>
          <w:p>
            <w:pPr>
              <w:jc w:val="both"/>
              <w:rPr>
                <w:rFonts w:ascii="仿宋" w:hAnsi="仿宋" w:eastAsia="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09" w:type="dxa"/>
            <w:vAlign w:val="center"/>
          </w:tcPr>
          <w:p>
            <w:pPr>
              <w:pStyle w:val="7"/>
              <w:spacing w:before="87" w:line="173" w:lineRule="auto"/>
              <w:ind w:left="48"/>
              <w:jc w:val="both"/>
              <w:rPr>
                <w:rFonts w:ascii="Times New Roman" w:hAnsi="Times New Roman" w:cs="Times New Roman"/>
                <w:sz w:val="21"/>
                <w:szCs w:val="21"/>
              </w:rPr>
            </w:pPr>
            <w:r>
              <w:rPr>
                <w:rFonts w:ascii="Times New Roman" w:hAnsi="Times New Roman" w:cs="Times New Roman"/>
                <w:spacing w:val="-6"/>
                <w:sz w:val="21"/>
                <w:szCs w:val="21"/>
              </w:rPr>
              <w:t>1.1.3</w:t>
            </w:r>
          </w:p>
        </w:tc>
        <w:tc>
          <w:tcPr>
            <w:tcW w:w="3546" w:type="dxa"/>
            <w:vAlign w:val="center"/>
          </w:tcPr>
          <w:p>
            <w:pPr>
              <w:pStyle w:val="7"/>
              <w:spacing w:before="45" w:line="216" w:lineRule="auto"/>
              <w:ind w:left="58"/>
              <w:jc w:val="both"/>
              <w:rPr>
                <w:rFonts w:ascii="仿宋" w:hAnsi="仿宋" w:eastAsia="仿宋"/>
                <w:sz w:val="21"/>
                <w:szCs w:val="21"/>
                <w:lang w:eastAsia="zh-CN"/>
              </w:rPr>
            </w:pPr>
            <w:r>
              <w:rPr>
                <w:rFonts w:ascii="仿宋" w:hAnsi="仿宋" w:eastAsia="仿宋"/>
                <w:sz w:val="21"/>
                <w:szCs w:val="21"/>
                <w:lang w:eastAsia="zh-CN"/>
              </w:rPr>
              <w:t>有明确的实验室安全管理职能部门</w:t>
            </w:r>
          </w:p>
        </w:tc>
        <w:tc>
          <w:tcPr>
            <w:tcW w:w="8078" w:type="dxa"/>
            <w:vAlign w:val="center"/>
          </w:tcPr>
          <w:p>
            <w:pPr>
              <w:pStyle w:val="7"/>
              <w:spacing w:before="45" w:line="216" w:lineRule="auto"/>
              <w:ind w:left="83"/>
              <w:jc w:val="both"/>
              <w:rPr>
                <w:rFonts w:ascii="仿宋" w:hAnsi="仿宋" w:eastAsia="仿宋"/>
                <w:sz w:val="21"/>
                <w:szCs w:val="21"/>
                <w:lang w:eastAsia="zh-CN"/>
              </w:rPr>
            </w:pPr>
            <w:r>
              <w:rPr>
                <w:rFonts w:ascii="仿宋" w:hAnsi="仿宋" w:eastAsia="仿宋"/>
                <w:spacing w:val="-1"/>
                <w:sz w:val="21"/>
                <w:szCs w:val="21"/>
                <w:lang w:eastAsia="zh-CN"/>
              </w:rPr>
              <w:t>(3)明确牵头职能部门负责实验室安全工作，相关职能部门切实配合</w:t>
            </w:r>
            <w:r>
              <w:rPr>
                <w:rFonts w:ascii="仿宋" w:hAnsi="仿宋" w:eastAsia="仿宋"/>
                <w:spacing w:val="-2"/>
                <w:sz w:val="21"/>
                <w:szCs w:val="21"/>
                <w:lang w:eastAsia="zh-CN"/>
              </w:rPr>
              <w:t>落实工作</w:t>
            </w:r>
            <w:r>
              <w:rPr>
                <w:rFonts w:hint="eastAsia" w:ascii="仿宋" w:hAnsi="仿宋" w:eastAsia="仿宋"/>
                <w:spacing w:val="-2"/>
                <w:sz w:val="21"/>
                <w:szCs w:val="21"/>
                <w:lang w:eastAsia="zh-CN"/>
              </w:rPr>
              <w:t>。</w:t>
            </w:r>
          </w:p>
        </w:tc>
        <w:tc>
          <w:tcPr>
            <w:tcW w:w="2126" w:type="dxa"/>
            <w:vAlign w:val="center"/>
          </w:tcPr>
          <w:p>
            <w:pPr>
              <w:jc w:val="both"/>
              <w:rPr>
                <w:rFonts w:ascii="仿宋" w:hAnsi="仿宋" w:eastAsia="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09" w:type="dxa"/>
            <w:vAlign w:val="center"/>
          </w:tcPr>
          <w:p>
            <w:pPr>
              <w:pStyle w:val="7"/>
              <w:spacing w:before="104" w:line="173" w:lineRule="auto"/>
              <w:ind w:left="48"/>
              <w:jc w:val="both"/>
              <w:rPr>
                <w:rFonts w:ascii="Times New Roman" w:hAnsi="Times New Roman" w:cs="Times New Roman"/>
                <w:sz w:val="21"/>
                <w:szCs w:val="21"/>
              </w:rPr>
            </w:pPr>
            <w:r>
              <w:rPr>
                <w:rFonts w:ascii="Times New Roman" w:hAnsi="Times New Roman" w:cs="Times New Roman"/>
                <w:spacing w:val="-6"/>
                <w:sz w:val="21"/>
                <w:szCs w:val="21"/>
              </w:rPr>
              <w:t>1.1.4</w:t>
            </w:r>
          </w:p>
        </w:tc>
        <w:tc>
          <w:tcPr>
            <w:tcW w:w="3546" w:type="dxa"/>
            <w:vAlign w:val="center"/>
          </w:tcPr>
          <w:p>
            <w:pPr>
              <w:pStyle w:val="7"/>
              <w:spacing w:before="60" w:line="218" w:lineRule="auto"/>
              <w:ind w:left="61"/>
              <w:jc w:val="both"/>
              <w:rPr>
                <w:rFonts w:ascii="仿宋" w:hAnsi="仿宋" w:eastAsia="仿宋"/>
                <w:sz w:val="21"/>
                <w:szCs w:val="21"/>
                <w:lang w:eastAsia="zh-CN"/>
              </w:rPr>
            </w:pPr>
            <w:r>
              <w:rPr>
                <w:rFonts w:ascii="仿宋" w:hAnsi="仿宋" w:eastAsia="仿宋"/>
                <w:spacing w:val="-1"/>
                <w:sz w:val="21"/>
                <w:szCs w:val="21"/>
                <w:lang w:eastAsia="zh-CN"/>
              </w:rPr>
              <w:t>学校与院系签订实验室安全责任书</w:t>
            </w:r>
          </w:p>
        </w:tc>
        <w:tc>
          <w:tcPr>
            <w:tcW w:w="8078" w:type="dxa"/>
            <w:vAlign w:val="center"/>
          </w:tcPr>
          <w:p>
            <w:pPr>
              <w:pStyle w:val="7"/>
              <w:spacing w:before="60" w:line="218" w:lineRule="auto"/>
              <w:ind w:left="83"/>
              <w:jc w:val="both"/>
              <w:rPr>
                <w:rFonts w:ascii="仿宋" w:hAnsi="仿宋" w:eastAsia="仿宋"/>
                <w:sz w:val="21"/>
                <w:szCs w:val="21"/>
                <w:lang w:eastAsia="zh-CN"/>
              </w:rPr>
            </w:pPr>
            <w:r>
              <w:rPr>
                <w:rFonts w:ascii="仿宋" w:hAnsi="仿宋" w:eastAsia="仿宋"/>
                <w:spacing w:val="-1"/>
                <w:sz w:val="21"/>
                <w:szCs w:val="21"/>
                <w:lang w:eastAsia="zh-CN"/>
              </w:rPr>
              <w:t>(4)档案或信息系统里有现任学校领导与院系负责人签字盖章的</w:t>
            </w:r>
            <w:r>
              <w:rPr>
                <w:rFonts w:ascii="仿宋" w:hAnsi="仿宋" w:eastAsia="仿宋"/>
                <w:spacing w:val="-2"/>
                <w:sz w:val="21"/>
                <w:szCs w:val="21"/>
                <w:lang w:eastAsia="zh-CN"/>
              </w:rPr>
              <w:t>安全责任书</w:t>
            </w:r>
            <w:r>
              <w:rPr>
                <w:rFonts w:hint="eastAsia" w:ascii="仿宋" w:hAnsi="仿宋" w:eastAsia="仿宋"/>
                <w:spacing w:val="-2"/>
                <w:sz w:val="21"/>
                <w:szCs w:val="21"/>
                <w:lang w:eastAsia="zh-CN"/>
              </w:rPr>
              <w:t>。</w:t>
            </w:r>
          </w:p>
        </w:tc>
        <w:tc>
          <w:tcPr>
            <w:tcW w:w="2126" w:type="dxa"/>
            <w:vAlign w:val="center"/>
          </w:tcPr>
          <w:p>
            <w:pPr>
              <w:jc w:val="both"/>
              <w:rPr>
                <w:rFonts w:ascii="仿宋" w:hAnsi="仿宋" w:eastAsia="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709" w:type="dxa"/>
            <w:vAlign w:val="center"/>
          </w:tcPr>
          <w:p>
            <w:pPr>
              <w:pStyle w:val="7"/>
              <w:spacing w:before="80" w:line="168" w:lineRule="auto"/>
              <w:ind w:left="51"/>
              <w:jc w:val="both"/>
              <w:rPr>
                <w:rFonts w:ascii="Times New Roman" w:hAnsi="Times New Roman" w:cs="Times New Roman"/>
                <w:sz w:val="21"/>
                <w:szCs w:val="21"/>
              </w:rPr>
            </w:pPr>
            <w:r>
              <w:rPr>
                <w:rFonts w:ascii="Times New Roman" w:hAnsi="Times New Roman" w:cs="Times New Roman"/>
                <w:b/>
                <w:bCs/>
                <w:spacing w:val="-10"/>
                <w:sz w:val="21"/>
                <w:szCs w:val="21"/>
              </w:rPr>
              <w:t>1.2</w:t>
            </w:r>
          </w:p>
        </w:tc>
        <w:tc>
          <w:tcPr>
            <w:tcW w:w="13750" w:type="dxa"/>
            <w:gridSpan w:val="3"/>
            <w:vAlign w:val="center"/>
          </w:tcPr>
          <w:p>
            <w:pPr>
              <w:pStyle w:val="7"/>
              <w:spacing w:before="38" w:line="211" w:lineRule="auto"/>
              <w:ind w:left="62"/>
              <w:jc w:val="both"/>
              <w:rPr>
                <w:rFonts w:ascii="仿宋" w:hAnsi="仿宋" w:eastAsia="仿宋"/>
                <w:sz w:val="21"/>
                <w:szCs w:val="21"/>
                <w:lang w:eastAsia="zh-CN"/>
              </w:rPr>
            </w:pPr>
            <w:r>
              <w:rPr>
                <w:rFonts w:ascii="仿宋" w:hAnsi="仿宋" w:eastAsia="仿宋"/>
                <w:b/>
                <w:bCs/>
                <w:spacing w:val="-4"/>
                <w:sz w:val="21"/>
                <w:szCs w:val="21"/>
                <w:lang w:eastAsia="zh-CN"/>
              </w:rPr>
              <w:t>院系层面安全责任体系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709" w:type="dxa"/>
            <w:vAlign w:val="center"/>
          </w:tcPr>
          <w:p>
            <w:pPr>
              <w:pStyle w:val="7"/>
              <w:spacing w:before="59"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1.2.1</w:t>
            </w:r>
          </w:p>
        </w:tc>
        <w:tc>
          <w:tcPr>
            <w:tcW w:w="3546" w:type="dxa"/>
            <w:vAlign w:val="center"/>
          </w:tcPr>
          <w:p>
            <w:pPr>
              <w:pStyle w:val="7"/>
              <w:spacing w:before="59" w:line="220" w:lineRule="auto"/>
              <w:ind w:left="58"/>
              <w:jc w:val="both"/>
              <w:rPr>
                <w:rFonts w:ascii="仿宋" w:hAnsi="仿宋" w:eastAsia="仿宋"/>
                <w:sz w:val="21"/>
                <w:szCs w:val="21"/>
                <w:lang w:eastAsia="zh-CN"/>
              </w:rPr>
            </w:pPr>
            <w:r>
              <w:rPr>
                <w:rFonts w:ascii="仿宋" w:hAnsi="仿宋" w:eastAsia="仿宋"/>
                <w:spacing w:val="-2"/>
                <w:sz w:val="21"/>
                <w:szCs w:val="21"/>
                <w:lang w:eastAsia="zh-CN"/>
              </w:rPr>
              <w:t>有院系实验室安全工作队伍</w:t>
            </w:r>
          </w:p>
        </w:tc>
        <w:tc>
          <w:tcPr>
            <w:tcW w:w="8078" w:type="dxa"/>
            <w:vAlign w:val="center"/>
          </w:tcPr>
          <w:p>
            <w:pPr>
              <w:pStyle w:val="7"/>
              <w:spacing w:before="82" w:line="230" w:lineRule="auto"/>
              <w:ind w:left="54" w:right="260"/>
              <w:jc w:val="both"/>
              <w:rPr>
                <w:rFonts w:ascii="仿宋" w:hAnsi="仿宋" w:eastAsia="仿宋"/>
                <w:sz w:val="21"/>
                <w:szCs w:val="21"/>
                <w:lang w:eastAsia="zh-CN"/>
              </w:rPr>
            </w:pPr>
            <w:r>
              <w:rPr>
                <w:rFonts w:ascii="仿宋" w:hAnsi="仿宋" w:eastAsia="仿宋"/>
                <w:spacing w:val="-1"/>
                <w:sz w:val="21"/>
                <w:szCs w:val="21"/>
                <w:lang w:eastAsia="zh-CN"/>
              </w:rPr>
              <w:t>(5)院系安全工作队伍由党政负责人、分管实验室安全的领导、院系实验室安</w:t>
            </w:r>
            <w:r>
              <w:rPr>
                <w:rFonts w:ascii="仿宋" w:hAnsi="仿宋" w:eastAsia="仿宋"/>
                <w:spacing w:val="-2"/>
                <w:sz w:val="21"/>
                <w:szCs w:val="21"/>
                <w:lang w:eastAsia="zh-CN"/>
              </w:rPr>
              <w:t>全助</w:t>
            </w:r>
            <w:r>
              <w:rPr>
                <w:rFonts w:ascii="仿宋" w:hAnsi="仿宋" w:eastAsia="仿宋"/>
                <w:spacing w:val="-1"/>
                <w:sz w:val="21"/>
                <w:szCs w:val="21"/>
                <w:lang w:eastAsia="zh-CN"/>
              </w:rPr>
              <w:t>理或安全主管、实验室负责人、实验室安全</w:t>
            </w:r>
            <w:r>
              <w:rPr>
                <w:rFonts w:ascii="仿宋" w:hAnsi="仿宋" w:eastAsia="仿宋"/>
                <w:spacing w:val="-2"/>
                <w:sz w:val="21"/>
                <w:szCs w:val="21"/>
                <w:lang w:eastAsia="zh-CN"/>
              </w:rPr>
              <w:t>员等共同组成</w:t>
            </w:r>
            <w:r>
              <w:rPr>
                <w:rFonts w:hint="eastAsia" w:ascii="仿宋" w:hAnsi="仿宋" w:eastAsia="仿宋"/>
                <w:spacing w:val="-2"/>
                <w:sz w:val="21"/>
                <w:szCs w:val="21"/>
                <w:lang w:eastAsia="zh-CN"/>
              </w:rPr>
              <w:t>。</w:t>
            </w:r>
          </w:p>
          <w:p>
            <w:pPr>
              <w:pStyle w:val="7"/>
              <w:spacing w:before="84" w:line="219" w:lineRule="auto"/>
              <w:ind w:right="319"/>
              <w:jc w:val="both"/>
              <w:rPr>
                <w:rFonts w:ascii="仿宋" w:hAnsi="仿宋" w:eastAsia="仿宋"/>
                <w:sz w:val="21"/>
                <w:szCs w:val="21"/>
                <w:lang w:eastAsia="zh-CN"/>
              </w:rPr>
            </w:pPr>
            <w:r>
              <w:rPr>
                <w:rFonts w:ascii="仿宋" w:hAnsi="仿宋" w:eastAsia="仿宋"/>
                <w:sz w:val="21"/>
                <w:szCs w:val="21"/>
                <w:lang w:eastAsia="zh-CN"/>
              </w:rPr>
              <w:t>(6)有带文号的院系文件，如党政联席会/办</w:t>
            </w:r>
            <w:r>
              <w:rPr>
                <w:rFonts w:ascii="仿宋" w:hAnsi="仿宋" w:eastAsia="仿宋"/>
                <w:spacing w:val="-1"/>
                <w:sz w:val="21"/>
                <w:szCs w:val="21"/>
                <w:lang w:eastAsia="zh-CN"/>
              </w:rPr>
              <w:t>公会等纪要、通知或制度等明确其内</w:t>
            </w:r>
            <w:r>
              <w:rPr>
                <w:rFonts w:ascii="仿宋" w:hAnsi="仿宋" w:eastAsia="仿宋"/>
                <w:sz w:val="21"/>
                <w:szCs w:val="21"/>
                <w:lang w:eastAsia="zh-CN"/>
              </w:rPr>
              <w:t>容</w:t>
            </w:r>
            <w:r>
              <w:rPr>
                <w:rFonts w:hint="eastAsia" w:ascii="仿宋" w:hAnsi="仿宋" w:eastAsia="仿宋"/>
                <w:sz w:val="21"/>
                <w:szCs w:val="21"/>
                <w:lang w:eastAsia="zh-CN"/>
              </w:rPr>
              <w:t>。</w:t>
            </w:r>
          </w:p>
        </w:tc>
        <w:tc>
          <w:tcPr>
            <w:tcW w:w="2126" w:type="dxa"/>
            <w:vAlign w:val="center"/>
          </w:tcPr>
          <w:p>
            <w:pPr>
              <w:jc w:val="both"/>
              <w:rPr>
                <w:rFonts w:ascii="仿宋" w:hAnsi="仿宋" w:eastAsia="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09" w:type="dxa"/>
            <w:vAlign w:val="center"/>
          </w:tcPr>
          <w:p>
            <w:pPr>
              <w:pStyle w:val="7"/>
              <w:spacing w:before="105" w:line="174" w:lineRule="auto"/>
              <w:ind w:left="48"/>
              <w:jc w:val="both"/>
              <w:rPr>
                <w:rFonts w:ascii="Times New Roman" w:hAnsi="Times New Roman" w:cs="Times New Roman"/>
                <w:sz w:val="21"/>
                <w:szCs w:val="21"/>
              </w:rPr>
            </w:pPr>
            <w:r>
              <w:rPr>
                <w:rFonts w:ascii="Times New Roman" w:hAnsi="Times New Roman" w:cs="Times New Roman"/>
                <w:spacing w:val="-6"/>
                <w:sz w:val="21"/>
                <w:szCs w:val="21"/>
              </w:rPr>
              <w:t>1.2.2</w:t>
            </w:r>
          </w:p>
        </w:tc>
        <w:tc>
          <w:tcPr>
            <w:tcW w:w="3546" w:type="dxa"/>
            <w:vAlign w:val="center"/>
          </w:tcPr>
          <w:p>
            <w:pPr>
              <w:pStyle w:val="7"/>
              <w:spacing w:before="63" w:line="217" w:lineRule="auto"/>
              <w:ind w:left="69"/>
              <w:jc w:val="both"/>
              <w:rPr>
                <w:rFonts w:ascii="仿宋" w:hAnsi="仿宋" w:eastAsia="仿宋"/>
                <w:sz w:val="21"/>
                <w:szCs w:val="21"/>
                <w:lang w:eastAsia="zh-CN"/>
              </w:rPr>
            </w:pPr>
            <w:r>
              <w:rPr>
                <w:rFonts w:ascii="仿宋" w:hAnsi="仿宋" w:eastAsia="仿宋"/>
                <w:spacing w:val="-2"/>
                <w:sz w:val="21"/>
                <w:szCs w:val="21"/>
                <w:lang w:eastAsia="zh-CN"/>
              </w:rPr>
              <w:t>院系签订实验室安全责任书</w:t>
            </w:r>
          </w:p>
        </w:tc>
        <w:tc>
          <w:tcPr>
            <w:tcW w:w="8078" w:type="dxa"/>
            <w:vAlign w:val="center"/>
          </w:tcPr>
          <w:p>
            <w:pPr>
              <w:pStyle w:val="7"/>
              <w:spacing w:before="63" w:line="217" w:lineRule="auto"/>
              <w:jc w:val="both"/>
              <w:rPr>
                <w:rFonts w:ascii="仿宋" w:hAnsi="仿宋" w:eastAsia="仿宋"/>
                <w:sz w:val="21"/>
                <w:szCs w:val="21"/>
                <w:lang w:eastAsia="zh-CN"/>
              </w:rPr>
            </w:pPr>
            <w:r>
              <w:rPr>
                <w:rFonts w:ascii="仿宋" w:hAnsi="仿宋" w:eastAsia="仿宋"/>
                <w:spacing w:val="-2"/>
                <w:sz w:val="21"/>
                <w:szCs w:val="21"/>
                <w:lang w:eastAsia="zh-CN"/>
              </w:rPr>
              <w:t>(7)院系签订责任书到实验房间安全责任人</w:t>
            </w:r>
            <w:r>
              <w:rPr>
                <w:rFonts w:hint="eastAsia" w:ascii="仿宋" w:hAnsi="仿宋" w:eastAsia="仿宋"/>
                <w:spacing w:val="-2"/>
                <w:sz w:val="21"/>
                <w:szCs w:val="21"/>
                <w:lang w:eastAsia="zh-CN"/>
              </w:rPr>
              <w:t>。</w:t>
            </w:r>
          </w:p>
        </w:tc>
        <w:tc>
          <w:tcPr>
            <w:tcW w:w="2126" w:type="dxa"/>
            <w:vAlign w:val="center"/>
          </w:tcPr>
          <w:p>
            <w:pPr>
              <w:jc w:val="both"/>
              <w:rPr>
                <w:rFonts w:ascii="仿宋" w:hAnsi="仿宋" w:eastAsia="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709" w:type="dxa"/>
            <w:vAlign w:val="center"/>
          </w:tcPr>
          <w:p>
            <w:pPr>
              <w:pStyle w:val="7"/>
              <w:spacing w:before="107" w:line="136" w:lineRule="exact"/>
              <w:ind w:left="51"/>
              <w:jc w:val="both"/>
              <w:rPr>
                <w:rFonts w:ascii="Times New Roman" w:hAnsi="Times New Roman" w:cs="Times New Roman"/>
                <w:sz w:val="21"/>
                <w:szCs w:val="21"/>
              </w:rPr>
            </w:pPr>
            <w:r>
              <w:rPr>
                <w:rFonts w:ascii="Times New Roman" w:hAnsi="Times New Roman" w:cs="Times New Roman"/>
                <w:b/>
                <w:bCs/>
                <w:spacing w:val="-10"/>
                <w:position w:val="-3"/>
                <w:sz w:val="21"/>
                <w:szCs w:val="21"/>
              </w:rPr>
              <w:t>1.3</w:t>
            </w:r>
          </w:p>
        </w:tc>
        <w:tc>
          <w:tcPr>
            <w:tcW w:w="13750" w:type="dxa"/>
            <w:gridSpan w:val="3"/>
            <w:vAlign w:val="center"/>
          </w:tcPr>
          <w:p>
            <w:pPr>
              <w:pStyle w:val="7"/>
              <w:spacing w:before="40" w:line="209" w:lineRule="auto"/>
              <w:ind w:left="55"/>
              <w:jc w:val="both"/>
              <w:rPr>
                <w:rFonts w:ascii="仿宋" w:hAnsi="仿宋" w:eastAsia="仿宋"/>
                <w:sz w:val="21"/>
                <w:szCs w:val="21"/>
                <w:lang w:eastAsia="zh-CN"/>
              </w:rPr>
            </w:pPr>
            <w:r>
              <w:rPr>
                <w:rFonts w:ascii="仿宋" w:hAnsi="仿宋" w:eastAsia="仿宋"/>
                <w:b/>
                <w:bCs/>
                <w:spacing w:val="-3"/>
                <w:sz w:val="21"/>
                <w:szCs w:val="21"/>
                <w:lang w:eastAsia="zh-CN"/>
              </w:rPr>
              <w:t>实验室层面安全责任体系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709" w:type="dxa"/>
            <w:vAlign w:val="center"/>
          </w:tcPr>
          <w:p>
            <w:pPr>
              <w:pStyle w:val="7"/>
              <w:spacing w:before="59"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1.3.1</w:t>
            </w:r>
          </w:p>
        </w:tc>
        <w:tc>
          <w:tcPr>
            <w:tcW w:w="3546" w:type="dxa"/>
            <w:vAlign w:val="center"/>
          </w:tcPr>
          <w:p>
            <w:pPr>
              <w:pStyle w:val="7"/>
              <w:spacing w:before="59" w:line="220" w:lineRule="auto"/>
              <w:ind w:left="74"/>
              <w:jc w:val="both"/>
              <w:rPr>
                <w:rFonts w:ascii="仿宋" w:hAnsi="仿宋" w:eastAsia="仿宋"/>
                <w:sz w:val="21"/>
                <w:szCs w:val="21"/>
                <w:lang w:eastAsia="zh-CN"/>
              </w:rPr>
            </w:pPr>
            <w:r>
              <w:rPr>
                <w:rFonts w:ascii="仿宋" w:hAnsi="仿宋" w:eastAsia="仿宋"/>
                <w:spacing w:val="-2"/>
                <w:sz w:val="21"/>
                <w:szCs w:val="21"/>
                <w:lang w:eastAsia="zh-CN"/>
              </w:rPr>
              <w:t>明确实验室层面各级责任人及其职责</w:t>
            </w:r>
          </w:p>
        </w:tc>
        <w:tc>
          <w:tcPr>
            <w:tcW w:w="8078" w:type="dxa"/>
            <w:vAlign w:val="center"/>
          </w:tcPr>
          <w:p>
            <w:pPr>
              <w:pStyle w:val="7"/>
              <w:spacing w:before="83" w:line="252" w:lineRule="auto"/>
              <w:ind w:left="42" w:right="119"/>
              <w:jc w:val="both"/>
              <w:rPr>
                <w:rFonts w:ascii="仿宋" w:hAnsi="仿宋" w:eastAsia="仿宋"/>
                <w:sz w:val="21"/>
                <w:szCs w:val="21"/>
                <w:lang w:eastAsia="zh-CN"/>
              </w:rPr>
            </w:pPr>
            <w:r>
              <w:rPr>
                <w:rFonts w:ascii="仿宋" w:hAnsi="仿宋" w:eastAsia="仿宋"/>
                <w:spacing w:val="-2"/>
                <w:sz w:val="21"/>
                <w:szCs w:val="21"/>
                <w:lang w:eastAsia="zh-CN"/>
              </w:rPr>
              <w:t>(8)实验室负责人是本实验室安全工作的直接责任人，应严格落实实验室安全</w:t>
            </w:r>
            <w:r>
              <w:rPr>
                <w:rFonts w:ascii="仿宋" w:hAnsi="仿宋" w:eastAsia="仿宋"/>
                <w:spacing w:val="-3"/>
                <w:sz w:val="21"/>
                <w:szCs w:val="21"/>
                <w:lang w:eastAsia="zh-CN"/>
              </w:rPr>
              <w:t>准入，</w:t>
            </w:r>
            <w:r>
              <w:rPr>
                <w:rFonts w:ascii="仿宋" w:hAnsi="仿宋" w:eastAsia="仿宋"/>
                <w:sz w:val="21"/>
                <w:szCs w:val="21"/>
                <w:lang w:eastAsia="zh-CN"/>
              </w:rPr>
              <w:t>隐患整改、个人防护等日常安全管理工作，切实保障实验室安全；项目负责人(含教学课程任课教师)是项目安全的第一责任人，须对项目进行危险源辨识和风险评估，并制定防范措施及现场处置方案；实验室负</w:t>
            </w:r>
            <w:r>
              <w:rPr>
                <w:rFonts w:ascii="仿宋" w:hAnsi="仿宋" w:eastAsia="仿宋"/>
                <w:spacing w:val="-1"/>
                <w:sz w:val="21"/>
                <w:szCs w:val="21"/>
                <w:lang w:eastAsia="zh-CN"/>
              </w:rPr>
              <w:t>责人应指定安全员，负责本实验室</w:t>
            </w:r>
            <w:r>
              <w:rPr>
                <w:rFonts w:ascii="仿宋" w:hAnsi="仿宋" w:eastAsia="仿宋"/>
                <w:sz w:val="21"/>
                <w:szCs w:val="21"/>
                <w:lang w:eastAsia="zh-CN"/>
              </w:rPr>
              <w:t>日常安全管理</w:t>
            </w:r>
            <w:r>
              <w:rPr>
                <w:rFonts w:hint="eastAsia" w:ascii="仿宋" w:hAnsi="仿宋" w:eastAsia="仿宋"/>
                <w:sz w:val="21"/>
                <w:szCs w:val="21"/>
                <w:lang w:eastAsia="zh-CN"/>
              </w:rPr>
              <w:t>。</w:t>
            </w:r>
          </w:p>
        </w:tc>
        <w:tc>
          <w:tcPr>
            <w:tcW w:w="2126" w:type="dxa"/>
            <w:vAlign w:val="center"/>
          </w:tcPr>
          <w:p>
            <w:pPr>
              <w:jc w:val="both"/>
              <w:rPr>
                <w:rFonts w:ascii="仿宋" w:hAnsi="仿宋" w:eastAsia="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09" w:type="dxa"/>
            <w:vAlign w:val="center"/>
          </w:tcPr>
          <w:p>
            <w:pPr>
              <w:pStyle w:val="7"/>
              <w:spacing w:before="101" w:line="168" w:lineRule="auto"/>
              <w:ind w:left="48"/>
              <w:jc w:val="both"/>
              <w:rPr>
                <w:rFonts w:ascii="Times New Roman" w:hAnsi="Times New Roman" w:cs="Times New Roman"/>
                <w:sz w:val="21"/>
                <w:szCs w:val="21"/>
              </w:rPr>
            </w:pPr>
            <w:r>
              <w:rPr>
                <w:rFonts w:ascii="Times New Roman" w:hAnsi="Times New Roman" w:cs="Times New Roman"/>
                <w:spacing w:val="-6"/>
                <w:sz w:val="21"/>
                <w:szCs w:val="21"/>
              </w:rPr>
              <w:t>1.3.2</w:t>
            </w:r>
          </w:p>
        </w:tc>
        <w:tc>
          <w:tcPr>
            <w:tcW w:w="3546" w:type="dxa"/>
            <w:vAlign w:val="center"/>
          </w:tcPr>
          <w:p>
            <w:pPr>
              <w:pStyle w:val="7"/>
              <w:spacing w:before="62" w:line="208" w:lineRule="auto"/>
              <w:ind w:left="62"/>
              <w:jc w:val="both"/>
              <w:rPr>
                <w:rFonts w:ascii="仿宋" w:hAnsi="仿宋" w:eastAsia="仿宋"/>
                <w:sz w:val="21"/>
                <w:szCs w:val="21"/>
                <w:lang w:eastAsia="zh-CN"/>
              </w:rPr>
            </w:pPr>
            <w:r>
              <w:rPr>
                <w:rFonts w:ascii="仿宋" w:hAnsi="仿宋" w:eastAsia="仿宋"/>
                <w:spacing w:val="-1"/>
                <w:sz w:val="21"/>
                <w:szCs w:val="21"/>
                <w:lang w:eastAsia="zh-CN"/>
              </w:rPr>
              <w:t>实验室层面签订实验室安全责任书</w:t>
            </w:r>
          </w:p>
        </w:tc>
        <w:tc>
          <w:tcPr>
            <w:tcW w:w="8078" w:type="dxa"/>
            <w:vAlign w:val="center"/>
          </w:tcPr>
          <w:p>
            <w:pPr>
              <w:pStyle w:val="7"/>
              <w:spacing w:before="62" w:line="208" w:lineRule="auto"/>
              <w:jc w:val="both"/>
              <w:rPr>
                <w:rFonts w:ascii="仿宋" w:hAnsi="仿宋" w:eastAsia="仿宋"/>
                <w:sz w:val="21"/>
                <w:szCs w:val="21"/>
                <w:lang w:eastAsia="zh-CN"/>
              </w:rPr>
            </w:pPr>
            <w:r>
              <w:rPr>
                <w:rFonts w:ascii="仿宋" w:hAnsi="仿宋" w:eastAsia="仿宋"/>
                <w:spacing w:val="-2"/>
                <w:sz w:val="21"/>
                <w:szCs w:val="21"/>
                <w:lang w:eastAsia="zh-CN"/>
              </w:rPr>
              <w:t>(9)实验室负责人与相关实验人员签订实验室安全责任书</w:t>
            </w:r>
            <w:r>
              <w:rPr>
                <w:rFonts w:hint="eastAsia" w:ascii="仿宋" w:hAnsi="仿宋" w:eastAsia="仿宋"/>
                <w:spacing w:val="-2"/>
                <w:sz w:val="21"/>
                <w:szCs w:val="21"/>
                <w:lang w:eastAsia="zh-CN"/>
              </w:rPr>
              <w:t>。</w:t>
            </w:r>
          </w:p>
        </w:tc>
        <w:tc>
          <w:tcPr>
            <w:tcW w:w="2126" w:type="dxa"/>
            <w:vAlign w:val="center"/>
          </w:tcPr>
          <w:p>
            <w:pPr>
              <w:jc w:val="both"/>
              <w:rPr>
                <w:rFonts w:ascii="仿宋" w:hAnsi="仿宋" w:eastAsia="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09" w:type="dxa"/>
            <w:vAlign w:val="center"/>
          </w:tcPr>
          <w:p>
            <w:pPr>
              <w:pStyle w:val="7"/>
              <w:spacing w:before="90" w:line="167" w:lineRule="auto"/>
              <w:ind w:left="51"/>
              <w:jc w:val="both"/>
              <w:rPr>
                <w:rFonts w:ascii="Times New Roman" w:hAnsi="Times New Roman" w:cs="Times New Roman"/>
                <w:sz w:val="21"/>
                <w:szCs w:val="21"/>
              </w:rPr>
            </w:pPr>
            <w:r>
              <w:rPr>
                <w:rFonts w:ascii="Times New Roman" w:hAnsi="Times New Roman" w:cs="Times New Roman"/>
                <w:b/>
                <w:bCs/>
                <w:spacing w:val="-10"/>
                <w:sz w:val="21"/>
                <w:szCs w:val="21"/>
              </w:rPr>
              <w:t>1.4</w:t>
            </w:r>
          </w:p>
        </w:tc>
        <w:tc>
          <w:tcPr>
            <w:tcW w:w="13750" w:type="dxa"/>
            <w:gridSpan w:val="3"/>
            <w:vAlign w:val="center"/>
          </w:tcPr>
          <w:p>
            <w:pPr>
              <w:pStyle w:val="7"/>
              <w:spacing w:before="51" w:line="207" w:lineRule="auto"/>
              <w:ind w:left="54"/>
              <w:jc w:val="both"/>
              <w:rPr>
                <w:rFonts w:ascii="仿宋" w:hAnsi="仿宋" w:eastAsia="仿宋"/>
                <w:sz w:val="21"/>
                <w:szCs w:val="21"/>
              </w:rPr>
            </w:pPr>
            <w:r>
              <w:rPr>
                <w:rFonts w:ascii="仿宋" w:hAnsi="仿宋" w:eastAsia="仿宋"/>
                <w:b/>
                <w:bCs/>
                <w:spacing w:val="-4"/>
                <w:sz w:val="21"/>
                <w:szCs w:val="21"/>
              </w:rPr>
              <w:t>安全工作奖惩机制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09" w:type="dxa"/>
            <w:vAlign w:val="center"/>
          </w:tcPr>
          <w:p>
            <w:pPr>
              <w:pStyle w:val="7"/>
              <w:spacing w:before="115" w:line="141" w:lineRule="exact"/>
              <w:ind w:left="48"/>
              <w:jc w:val="both"/>
              <w:rPr>
                <w:rFonts w:ascii="Times New Roman" w:hAnsi="Times New Roman" w:cs="Times New Roman"/>
                <w:sz w:val="21"/>
                <w:szCs w:val="21"/>
              </w:rPr>
            </w:pPr>
            <w:r>
              <w:rPr>
                <w:rFonts w:ascii="Times New Roman" w:hAnsi="Times New Roman" w:cs="Times New Roman"/>
                <w:spacing w:val="-6"/>
                <w:position w:val="-1"/>
                <w:sz w:val="21"/>
                <w:szCs w:val="21"/>
              </w:rPr>
              <w:t>1.4.1</w:t>
            </w:r>
          </w:p>
        </w:tc>
        <w:tc>
          <w:tcPr>
            <w:tcW w:w="3546" w:type="dxa"/>
            <w:vAlign w:val="center"/>
          </w:tcPr>
          <w:p>
            <w:pPr>
              <w:pStyle w:val="7"/>
              <w:spacing w:before="47" w:line="214" w:lineRule="auto"/>
              <w:ind w:left="59"/>
              <w:jc w:val="both"/>
              <w:rPr>
                <w:rFonts w:ascii="仿宋" w:hAnsi="仿宋" w:eastAsia="仿宋"/>
                <w:sz w:val="21"/>
                <w:szCs w:val="21"/>
                <w:lang w:eastAsia="zh-CN"/>
              </w:rPr>
            </w:pPr>
            <w:r>
              <w:rPr>
                <w:rFonts w:ascii="仿宋" w:hAnsi="仿宋" w:eastAsia="仿宋"/>
                <w:spacing w:val="-2"/>
                <w:sz w:val="21"/>
                <w:szCs w:val="21"/>
                <w:lang w:eastAsia="zh-CN"/>
              </w:rPr>
              <w:t>奖惩机制落实到岗位或个人</w:t>
            </w:r>
          </w:p>
        </w:tc>
        <w:tc>
          <w:tcPr>
            <w:tcW w:w="8078" w:type="dxa"/>
            <w:vAlign w:val="center"/>
          </w:tcPr>
          <w:p>
            <w:pPr>
              <w:pStyle w:val="7"/>
              <w:spacing w:before="47" w:line="214" w:lineRule="auto"/>
              <w:ind w:left="83"/>
              <w:jc w:val="both"/>
              <w:rPr>
                <w:rFonts w:ascii="仿宋" w:hAnsi="仿宋" w:eastAsia="仿宋"/>
                <w:sz w:val="21"/>
                <w:szCs w:val="21"/>
                <w:lang w:eastAsia="zh-CN"/>
              </w:rPr>
            </w:pPr>
            <w:r>
              <w:rPr>
                <w:rFonts w:ascii="仿宋" w:hAnsi="仿宋" w:eastAsia="仿宋"/>
                <w:spacing w:val="-2"/>
                <w:sz w:val="21"/>
                <w:szCs w:val="21"/>
                <w:lang w:eastAsia="zh-CN"/>
              </w:rPr>
              <w:t>(10)是否有明确的奖惩管理办法，以及实际执行情况</w:t>
            </w:r>
            <w:r>
              <w:rPr>
                <w:rFonts w:hint="eastAsia" w:ascii="仿宋" w:hAnsi="仿宋" w:eastAsia="仿宋"/>
                <w:spacing w:val="-2"/>
                <w:sz w:val="21"/>
                <w:szCs w:val="21"/>
                <w:lang w:eastAsia="zh-CN"/>
              </w:rPr>
              <w:t>。</w:t>
            </w:r>
          </w:p>
        </w:tc>
        <w:tc>
          <w:tcPr>
            <w:tcW w:w="2126" w:type="dxa"/>
            <w:vAlign w:val="center"/>
          </w:tcPr>
          <w:p>
            <w:pPr>
              <w:jc w:val="both"/>
              <w:rPr>
                <w:rFonts w:ascii="仿宋" w:hAnsi="仿宋" w:eastAsia="仿宋"/>
                <w:lang w:eastAsia="zh-CN"/>
              </w:rPr>
            </w:pPr>
          </w:p>
        </w:tc>
      </w:tr>
    </w:tbl>
    <w:p>
      <w:pPr>
        <w:rPr>
          <w:lang w:eastAsia="zh-CN"/>
        </w:rPr>
        <w:sectPr>
          <w:footerReference r:id="rId3" w:type="default"/>
          <w:pgSz w:w="16841" w:h="11912"/>
          <w:pgMar w:top="1012" w:right="2526" w:bottom="1234" w:left="1841" w:header="0" w:footer="1100" w:gutter="0"/>
          <w:cols w:space="720" w:num="1"/>
        </w:sectPr>
      </w:pPr>
    </w:p>
    <w:tbl>
      <w:tblPr>
        <w:tblStyle w:val="6"/>
        <w:tblpPr w:leftFromText="180" w:rightFromText="180" w:vertAnchor="text" w:horzAnchor="page" w:tblpX="1079" w:tblpY="-7"/>
        <w:tblOverlap w:val="never"/>
        <w:tblW w:w="143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3480"/>
        <w:gridCol w:w="8055"/>
        <w:gridCol w:w="2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05" w:type="dxa"/>
          </w:tcPr>
          <w:p>
            <w:pPr>
              <w:pStyle w:val="7"/>
              <w:spacing w:before="36" w:line="223" w:lineRule="auto"/>
              <w:rPr>
                <w:rFonts w:hint="eastAsia" w:ascii="黑体" w:hAnsi="黑体" w:eastAsia="黑体" w:cs="黑体"/>
                <w:sz w:val="21"/>
                <w:szCs w:val="21"/>
              </w:rPr>
            </w:pPr>
            <w:r>
              <w:rPr>
                <w:rFonts w:hint="eastAsia" w:ascii="黑体" w:hAnsi="黑体" w:eastAsia="黑体" w:cs="黑体"/>
                <w:b/>
                <w:bCs/>
                <w:spacing w:val="3"/>
                <w:sz w:val="21"/>
                <w:szCs w:val="21"/>
              </w:rPr>
              <w:t>序号</w:t>
            </w:r>
          </w:p>
        </w:tc>
        <w:tc>
          <w:tcPr>
            <w:tcW w:w="3480" w:type="dxa"/>
          </w:tcPr>
          <w:p>
            <w:pPr>
              <w:pStyle w:val="7"/>
              <w:spacing w:before="36" w:line="223" w:lineRule="auto"/>
              <w:ind w:left="41"/>
              <w:rPr>
                <w:rFonts w:hint="eastAsia" w:ascii="黑体" w:hAnsi="黑体" w:eastAsia="黑体" w:cs="黑体"/>
                <w:b/>
                <w:bCs/>
                <w:sz w:val="21"/>
                <w:szCs w:val="21"/>
              </w:rPr>
            </w:pPr>
            <w:r>
              <w:rPr>
                <w:rFonts w:hint="eastAsia" w:ascii="黑体" w:hAnsi="黑体" w:eastAsia="黑体" w:cs="黑体"/>
                <w:b/>
                <w:bCs/>
                <w:spacing w:val="10"/>
                <w:sz w:val="21"/>
                <w:szCs w:val="21"/>
              </w:rPr>
              <w:t>检查项目</w:t>
            </w:r>
          </w:p>
        </w:tc>
        <w:tc>
          <w:tcPr>
            <w:tcW w:w="8055" w:type="dxa"/>
          </w:tcPr>
          <w:p>
            <w:pPr>
              <w:pStyle w:val="7"/>
              <w:spacing w:before="45" w:line="216" w:lineRule="auto"/>
              <w:ind w:left="83"/>
              <w:jc w:val="both"/>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检查要点</w:t>
            </w:r>
          </w:p>
        </w:tc>
        <w:tc>
          <w:tcPr>
            <w:tcW w:w="2145" w:type="dxa"/>
          </w:tcPr>
          <w:p>
            <w:pPr>
              <w:pStyle w:val="7"/>
              <w:spacing w:before="36" w:line="223" w:lineRule="auto"/>
              <w:ind w:left="43"/>
              <w:rPr>
                <w:rFonts w:hint="eastAsia" w:ascii="黑体" w:hAnsi="黑体" w:eastAsia="黑体" w:cs="黑体"/>
                <w:sz w:val="21"/>
                <w:szCs w:val="21"/>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r>
              <w:rPr>
                <w:rFonts w:hint="eastAsia" w:ascii="仿宋" w:hAnsi="仿宋" w:eastAsia="仿宋"/>
                <w:b w:val="0"/>
                <w:bCs w:val="0"/>
                <w:spacing w:val="1"/>
                <w:sz w:val="21"/>
                <w:szCs w:val="21"/>
                <w:lang w:eastAsia="zh-CN"/>
              </w:rPr>
              <w:t>1.4.2</w:t>
            </w:r>
          </w:p>
        </w:tc>
        <w:tc>
          <w:tcPr>
            <w:tcW w:w="3480" w:type="dxa"/>
          </w:tcPr>
          <w:p>
            <w:pPr>
              <w:pStyle w:val="7"/>
              <w:spacing w:before="54" w:line="226" w:lineRule="auto"/>
              <w:ind w:left="40"/>
              <w:rPr>
                <w:rFonts w:hint="eastAsia" w:ascii="仿宋" w:hAnsi="仿宋" w:eastAsia="仿宋" w:cs="仿宋"/>
                <w:sz w:val="21"/>
                <w:szCs w:val="21"/>
                <w:lang w:eastAsia="zh-CN"/>
              </w:rPr>
            </w:pPr>
            <w:r>
              <w:rPr>
                <w:rFonts w:hint="eastAsia" w:ascii="仿宋" w:hAnsi="仿宋" w:eastAsia="仿宋" w:cs="仿宋"/>
                <w:spacing w:val="8"/>
                <w:sz w:val="21"/>
                <w:szCs w:val="21"/>
                <w:lang w:eastAsia="zh-CN"/>
              </w:rPr>
              <w:t>依法依规进行事故调查和责任追究</w:t>
            </w:r>
          </w:p>
        </w:tc>
        <w:tc>
          <w:tcPr>
            <w:tcW w:w="805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(11)检查事故调查执行情况。</w:t>
            </w:r>
          </w:p>
        </w:tc>
        <w:tc>
          <w:tcPr>
            <w:tcW w:w="2145"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705" w:type="dxa"/>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1.5</w:t>
            </w:r>
          </w:p>
        </w:tc>
        <w:tc>
          <w:tcPr>
            <w:tcW w:w="13680" w:type="dxa"/>
            <w:gridSpan w:val="3"/>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经费保障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r>
              <w:rPr>
                <w:rFonts w:hint="eastAsia" w:ascii="仿宋" w:hAnsi="仿宋" w:eastAsia="仿宋"/>
                <w:b w:val="0"/>
                <w:bCs w:val="0"/>
                <w:spacing w:val="1"/>
                <w:sz w:val="21"/>
                <w:szCs w:val="21"/>
                <w:lang w:eastAsia="zh-CN"/>
              </w:rPr>
              <w:t>1.5.1</w:t>
            </w:r>
          </w:p>
        </w:tc>
        <w:tc>
          <w:tcPr>
            <w:tcW w:w="3480" w:type="dxa"/>
          </w:tcPr>
          <w:p>
            <w:pPr>
              <w:pStyle w:val="7"/>
              <w:spacing w:before="36" w:line="225" w:lineRule="auto"/>
              <w:ind w:left="42"/>
              <w:rPr>
                <w:rFonts w:hint="eastAsia" w:ascii="仿宋" w:hAnsi="仿宋" w:eastAsia="仿宋" w:cs="仿宋"/>
                <w:sz w:val="21"/>
                <w:szCs w:val="21"/>
                <w:lang w:eastAsia="zh-CN"/>
              </w:rPr>
            </w:pPr>
            <w:r>
              <w:rPr>
                <w:rFonts w:hint="eastAsia" w:ascii="仿宋" w:hAnsi="仿宋" w:eastAsia="仿宋" w:cs="仿宋"/>
                <w:spacing w:val="9"/>
                <w:sz w:val="21"/>
                <w:szCs w:val="21"/>
                <w:lang w:eastAsia="zh-CN"/>
              </w:rPr>
              <w:t>学</w:t>
            </w:r>
            <w:r>
              <w:rPr>
                <w:rFonts w:hint="eastAsia" w:ascii="仿宋" w:hAnsi="仿宋" w:eastAsia="仿宋"/>
                <w:spacing w:val="-2"/>
                <w:sz w:val="21"/>
                <w:szCs w:val="21"/>
                <w:lang w:eastAsia="zh-CN"/>
              </w:rPr>
              <w:t>校每年有实验室安全常规经费预算</w:t>
            </w:r>
          </w:p>
        </w:tc>
        <w:tc>
          <w:tcPr>
            <w:tcW w:w="805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(12)学校职能部门有预算审批凭据证明有专款用于实验室安全工作。</w:t>
            </w:r>
          </w:p>
        </w:tc>
        <w:tc>
          <w:tcPr>
            <w:tcW w:w="2145"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r>
              <w:rPr>
                <w:rFonts w:hint="eastAsia" w:ascii="仿宋" w:hAnsi="仿宋" w:eastAsia="仿宋"/>
                <w:b w:val="0"/>
                <w:bCs w:val="0"/>
                <w:spacing w:val="1"/>
                <w:sz w:val="21"/>
                <w:szCs w:val="21"/>
                <w:lang w:eastAsia="zh-CN"/>
              </w:rPr>
              <w:t>1.5.2</w:t>
            </w:r>
          </w:p>
        </w:tc>
        <w:tc>
          <w:tcPr>
            <w:tcW w:w="3480" w:type="dxa"/>
          </w:tcPr>
          <w:p>
            <w:pPr>
              <w:pStyle w:val="7"/>
              <w:spacing w:before="95" w:line="224" w:lineRule="auto"/>
              <w:ind w:left="40" w:right="3" w:firstLine="1"/>
              <w:rPr>
                <w:rFonts w:hint="eastAsia" w:ascii="仿宋" w:hAnsi="仿宋" w:eastAsia="仿宋" w:cs="仿宋"/>
                <w:sz w:val="21"/>
                <w:szCs w:val="21"/>
                <w:lang w:eastAsia="zh-CN"/>
              </w:rPr>
            </w:pPr>
            <w:r>
              <w:rPr>
                <w:rFonts w:hint="eastAsia" w:ascii="仿宋" w:hAnsi="仿宋" w:eastAsia="仿宋" w:cs="仿宋"/>
                <w:spacing w:val="3"/>
                <w:sz w:val="21"/>
                <w:szCs w:val="21"/>
                <w:lang w:eastAsia="zh-CN"/>
              </w:rPr>
              <w:t>学校有专项经费投入实验室安全工作，重</w:t>
            </w:r>
            <w:r>
              <w:rPr>
                <w:rFonts w:hint="eastAsia" w:ascii="仿宋" w:hAnsi="仿宋" w:eastAsia="仿宋" w:cs="仿宋"/>
                <w:spacing w:val="8"/>
                <w:sz w:val="21"/>
                <w:szCs w:val="21"/>
                <w:lang w:eastAsia="zh-CN"/>
              </w:rPr>
              <w:t>大安全隐患整改经费能够落实</w:t>
            </w:r>
          </w:p>
        </w:tc>
        <w:tc>
          <w:tcPr>
            <w:tcW w:w="805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(13)学校职能部门有支出凭据证明有专款用于实验室安全工作，尤其是用于重大安全隐患整改项目。</w:t>
            </w:r>
          </w:p>
        </w:tc>
        <w:tc>
          <w:tcPr>
            <w:tcW w:w="2145"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r>
              <w:rPr>
                <w:rFonts w:hint="eastAsia" w:ascii="仿宋" w:hAnsi="仿宋" w:eastAsia="仿宋"/>
                <w:b w:val="0"/>
                <w:bCs w:val="0"/>
                <w:spacing w:val="1"/>
                <w:sz w:val="21"/>
                <w:szCs w:val="21"/>
                <w:lang w:eastAsia="zh-CN"/>
              </w:rPr>
              <w:t>1.5.3</w:t>
            </w:r>
          </w:p>
        </w:tc>
        <w:tc>
          <w:tcPr>
            <w:tcW w:w="3480" w:type="dxa"/>
          </w:tcPr>
          <w:p>
            <w:pPr>
              <w:pStyle w:val="7"/>
              <w:spacing w:before="80" w:line="223" w:lineRule="auto"/>
              <w:ind w:left="42" w:right="114" w:hanging="13"/>
              <w:rPr>
                <w:rFonts w:hint="eastAsia" w:ascii="仿宋" w:hAnsi="仿宋" w:eastAsia="仿宋" w:cs="仿宋"/>
                <w:sz w:val="21"/>
                <w:szCs w:val="21"/>
                <w:lang w:eastAsia="zh-CN"/>
              </w:rPr>
            </w:pPr>
            <w:r>
              <w:rPr>
                <w:rFonts w:hint="eastAsia" w:ascii="仿宋" w:hAnsi="仿宋" w:eastAsia="仿宋" w:cs="仿宋"/>
                <w:spacing w:val="8"/>
                <w:sz w:val="21"/>
                <w:szCs w:val="21"/>
                <w:lang w:eastAsia="zh-CN"/>
              </w:rPr>
              <w:t>院</w:t>
            </w:r>
            <w:r>
              <w:rPr>
                <w:rFonts w:hint="eastAsia" w:ascii="仿宋" w:hAnsi="仿宋" w:eastAsia="仿宋"/>
                <w:spacing w:val="-1"/>
                <w:sz w:val="21"/>
                <w:szCs w:val="21"/>
                <w:lang w:eastAsia="zh-CN"/>
              </w:rPr>
              <w:t>系有自筹经费投入实验室安全建设与管理</w:t>
            </w:r>
          </w:p>
        </w:tc>
        <w:tc>
          <w:tcPr>
            <w:tcW w:w="8055"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(14)院系有支出凭据证明有专款用于实验室安全工作。</w:t>
            </w:r>
          </w:p>
        </w:tc>
        <w:tc>
          <w:tcPr>
            <w:tcW w:w="2145"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705" w:type="dxa"/>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1.6</w:t>
            </w:r>
          </w:p>
        </w:tc>
        <w:tc>
          <w:tcPr>
            <w:tcW w:w="13680" w:type="dxa"/>
            <w:gridSpan w:val="3"/>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队伍建设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p>
          <w:p>
            <w:pPr>
              <w:pStyle w:val="7"/>
              <w:spacing w:before="45" w:line="216" w:lineRule="auto"/>
              <w:ind w:left="83"/>
              <w:jc w:val="both"/>
              <w:rPr>
                <w:rFonts w:hint="eastAsia" w:ascii="仿宋" w:hAnsi="仿宋" w:eastAsia="仿宋"/>
                <w:b w:val="0"/>
                <w:bCs w:val="0"/>
                <w:spacing w:val="1"/>
                <w:sz w:val="21"/>
                <w:szCs w:val="21"/>
                <w:lang w:eastAsia="zh-CN"/>
              </w:rPr>
            </w:pPr>
          </w:p>
          <w:p>
            <w:pPr>
              <w:pStyle w:val="7"/>
              <w:spacing w:before="45" w:line="216" w:lineRule="auto"/>
              <w:ind w:left="83"/>
              <w:jc w:val="both"/>
              <w:rPr>
                <w:rFonts w:hint="eastAsia" w:ascii="仿宋" w:hAnsi="仿宋" w:eastAsia="仿宋"/>
                <w:b w:val="0"/>
                <w:bCs w:val="0"/>
                <w:spacing w:val="1"/>
                <w:sz w:val="21"/>
                <w:szCs w:val="21"/>
                <w:lang w:eastAsia="zh-CN"/>
              </w:rPr>
            </w:pPr>
            <w:r>
              <w:rPr>
                <w:rFonts w:hint="eastAsia" w:ascii="仿宋" w:hAnsi="仿宋" w:eastAsia="仿宋"/>
                <w:b w:val="0"/>
                <w:bCs w:val="0"/>
                <w:spacing w:val="1"/>
                <w:sz w:val="21"/>
                <w:szCs w:val="21"/>
                <w:lang w:eastAsia="zh-CN"/>
              </w:rPr>
              <w:t>1.6.1</w:t>
            </w:r>
          </w:p>
        </w:tc>
        <w:tc>
          <w:tcPr>
            <w:tcW w:w="3480"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val="en-US" w:eastAsia="zh-CN"/>
              </w:rPr>
              <w:t>学校根据需要配备专职或兼职的实验室安全管理人员</w:t>
            </w:r>
          </w:p>
        </w:tc>
        <w:tc>
          <w:tcPr>
            <w:tcW w:w="805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(15)有重要危险源，即有毒有害(剧毒、易制爆、易制毒、爆炸品等)化学品、危险(易燃、易爆、有毒、窒息、高压等)气体、动物及病原微生物、辐射源及射线装置、同位素及核材料、危险性机械加工装置、强电强磁与激光设备、特种设备等的高校应依据工作量，在校级管理机构配备足够的专职实验室安全管理人员。</w:t>
            </w:r>
          </w:p>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(16)有重要危险源的院系应依据工作量配备专职实验室安全管理人员；文、管，艺术类、数学及信息等相关院系配备兼职实验室安全管理人员。</w:t>
            </w:r>
          </w:p>
        </w:tc>
        <w:tc>
          <w:tcPr>
            <w:tcW w:w="2145"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p>
          <w:p>
            <w:pPr>
              <w:pStyle w:val="7"/>
              <w:spacing w:before="45" w:line="216" w:lineRule="auto"/>
              <w:ind w:left="83"/>
              <w:jc w:val="both"/>
              <w:rPr>
                <w:rFonts w:hint="eastAsia" w:ascii="仿宋" w:hAnsi="仿宋" w:eastAsia="仿宋"/>
                <w:b w:val="0"/>
                <w:bCs w:val="0"/>
                <w:spacing w:val="1"/>
                <w:sz w:val="21"/>
                <w:szCs w:val="21"/>
                <w:lang w:eastAsia="zh-CN"/>
              </w:rPr>
            </w:pPr>
            <w:r>
              <w:rPr>
                <w:rFonts w:hint="eastAsia" w:ascii="仿宋" w:hAnsi="仿宋" w:eastAsia="仿宋"/>
                <w:b w:val="0"/>
                <w:bCs w:val="0"/>
                <w:spacing w:val="1"/>
                <w:sz w:val="21"/>
                <w:szCs w:val="21"/>
                <w:lang w:eastAsia="zh-CN"/>
              </w:rPr>
              <w:t>1.6.2</w:t>
            </w:r>
          </w:p>
        </w:tc>
        <w:tc>
          <w:tcPr>
            <w:tcW w:w="3480"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有校级实验室安全检查队伍，可以由教师、实验技术人员组成，也可以利用有相关专业能力的社会力量</w:t>
            </w:r>
          </w:p>
        </w:tc>
        <w:tc>
          <w:tcPr>
            <w:tcW w:w="8055" w:type="dxa"/>
          </w:tcPr>
          <w:p>
            <w:pPr>
              <w:spacing w:line="266" w:lineRule="auto"/>
              <w:rPr>
                <w:rFonts w:hint="eastAsia" w:ascii="仿宋" w:hAnsi="仿宋" w:eastAsia="仿宋" w:cs="宋体"/>
                <w:snapToGrid w:val="0"/>
                <w:color w:val="000000"/>
                <w:spacing w:val="1"/>
                <w:sz w:val="21"/>
                <w:szCs w:val="21"/>
                <w:lang w:val="en-US" w:eastAsia="zh-CN" w:bidi="ar-SA"/>
              </w:rPr>
            </w:pPr>
          </w:p>
          <w:p>
            <w:pPr>
              <w:pStyle w:val="7"/>
              <w:spacing w:before="58" w:line="229" w:lineRule="auto"/>
              <w:ind w:left="106"/>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w:t>
            </w:r>
            <w:r>
              <w:rPr>
                <w:rFonts w:hint="eastAsia" w:ascii="仿宋" w:hAnsi="仿宋" w:eastAsia="仿宋"/>
                <w:spacing w:val="-1"/>
                <w:sz w:val="21"/>
                <w:szCs w:val="21"/>
                <w:lang w:val="en-US" w:eastAsia="zh-CN"/>
              </w:rPr>
              <w:t>7)有文件证明学校设立了检查队伍，并有工作记录。</w:t>
            </w:r>
          </w:p>
        </w:tc>
        <w:tc>
          <w:tcPr>
            <w:tcW w:w="2145"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p>
          <w:p>
            <w:pPr>
              <w:pStyle w:val="7"/>
              <w:spacing w:before="45" w:line="216" w:lineRule="auto"/>
              <w:ind w:left="83"/>
              <w:jc w:val="both"/>
              <w:rPr>
                <w:rFonts w:hint="eastAsia" w:ascii="仿宋" w:hAnsi="仿宋" w:eastAsia="仿宋"/>
                <w:b w:val="0"/>
                <w:bCs w:val="0"/>
                <w:spacing w:val="1"/>
                <w:sz w:val="21"/>
                <w:szCs w:val="21"/>
                <w:lang w:eastAsia="zh-CN"/>
              </w:rPr>
            </w:pPr>
            <w:r>
              <w:rPr>
                <w:rFonts w:hint="eastAsia" w:ascii="仿宋" w:hAnsi="仿宋" w:eastAsia="仿宋"/>
                <w:b w:val="0"/>
                <w:bCs w:val="0"/>
                <w:spacing w:val="1"/>
                <w:sz w:val="21"/>
                <w:szCs w:val="21"/>
                <w:lang w:eastAsia="zh-CN"/>
              </w:rPr>
              <w:t>1.6.3</w:t>
            </w:r>
          </w:p>
        </w:tc>
        <w:tc>
          <w:tcPr>
            <w:tcW w:w="3480"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各级主管实验室安全的负责人、管理人员及技术人员到岗一年内须接受实验室安全培训</w:t>
            </w:r>
          </w:p>
        </w:tc>
        <w:tc>
          <w:tcPr>
            <w:tcW w:w="8055" w:type="dxa"/>
          </w:tcPr>
          <w:p>
            <w:pPr>
              <w:spacing w:line="256" w:lineRule="auto"/>
              <w:rPr>
                <w:rFonts w:hint="eastAsia" w:ascii="仿宋" w:hAnsi="仿宋" w:eastAsia="仿宋" w:cs="宋体"/>
                <w:snapToGrid w:val="0"/>
                <w:color w:val="000000"/>
                <w:spacing w:val="1"/>
                <w:sz w:val="21"/>
                <w:szCs w:val="21"/>
                <w:lang w:val="en-US" w:eastAsia="zh-CN" w:bidi="ar-SA"/>
              </w:rPr>
            </w:pPr>
          </w:p>
          <w:p>
            <w:pPr>
              <w:pStyle w:val="7"/>
              <w:spacing w:before="59" w:line="229" w:lineRule="auto"/>
              <w:ind w:left="106"/>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(18)有培训记录(证书、电子文档、书面记录)等证明培训及合格情况。</w:t>
            </w:r>
          </w:p>
        </w:tc>
        <w:tc>
          <w:tcPr>
            <w:tcW w:w="2145"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05" w:type="dxa"/>
            <w:vAlign w:val="center"/>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1.7</w:t>
            </w:r>
          </w:p>
        </w:tc>
        <w:tc>
          <w:tcPr>
            <w:tcW w:w="13680" w:type="dxa"/>
            <w:gridSpan w:val="3"/>
            <w:vAlign w:val="center"/>
          </w:tcPr>
          <w:p>
            <w:pPr>
              <w:pStyle w:val="7"/>
              <w:spacing w:before="86" w:line="248" w:lineRule="auto"/>
              <w:ind w:left="41" w:right="205"/>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r>
              <w:rPr>
                <w:rFonts w:hint="eastAsia" w:ascii="仿宋" w:hAnsi="仿宋" w:eastAsia="仿宋"/>
                <w:b w:val="0"/>
                <w:bCs w:val="0"/>
                <w:spacing w:val="1"/>
                <w:sz w:val="21"/>
                <w:szCs w:val="21"/>
                <w:lang w:eastAsia="zh-CN"/>
              </w:rPr>
              <w:t>1.7.1</w:t>
            </w:r>
          </w:p>
        </w:tc>
        <w:tc>
          <w:tcPr>
            <w:tcW w:w="3480" w:type="dxa"/>
          </w:tcPr>
          <w:p>
            <w:pPr>
              <w:pStyle w:val="7"/>
              <w:spacing w:before="58" w:line="220" w:lineRule="auto"/>
              <w:ind w:left="37"/>
              <w:rPr>
                <w:rFonts w:hint="eastAsia" w:ascii="仿宋" w:hAnsi="仿宋" w:eastAsia="仿宋" w:cs="仿宋"/>
                <w:sz w:val="21"/>
                <w:szCs w:val="21"/>
                <w:lang w:eastAsia="zh-CN"/>
              </w:rPr>
            </w:pPr>
            <w:r>
              <w:rPr>
                <w:rFonts w:hint="eastAsia" w:ascii="仿宋" w:hAnsi="仿宋" w:eastAsia="仿宋" w:cs="仿宋"/>
                <w:spacing w:val="8"/>
                <w:sz w:val="21"/>
                <w:szCs w:val="21"/>
                <w:lang w:eastAsia="zh-CN"/>
              </w:rPr>
              <w:t>采用信息化手段管理实验室安全</w:t>
            </w:r>
          </w:p>
        </w:tc>
        <w:tc>
          <w:tcPr>
            <w:tcW w:w="8055" w:type="dxa"/>
          </w:tcPr>
          <w:p>
            <w:pPr>
              <w:pStyle w:val="7"/>
              <w:spacing w:before="86" w:line="248" w:lineRule="auto"/>
              <w:ind w:left="41" w:right="205"/>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(19)学校建设信息管理等系统用于实验室安全管理。</w:t>
            </w:r>
          </w:p>
        </w:tc>
        <w:tc>
          <w:tcPr>
            <w:tcW w:w="2145"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p>
          <w:p>
            <w:pPr>
              <w:pStyle w:val="7"/>
              <w:spacing w:before="45" w:line="216" w:lineRule="auto"/>
              <w:ind w:left="83"/>
              <w:jc w:val="both"/>
              <w:rPr>
                <w:rFonts w:hint="eastAsia" w:ascii="仿宋" w:hAnsi="仿宋" w:eastAsia="仿宋" w:cs="仿宋"/>
                <w:spacing w:val="8"/>
                <w:sz w:val="21"/>
                <w:szCs w:val="21"/>
                <w:lang w:eastAsia="zh-CN"/>
              </w:rPr>
            </w:pPr>
            <w:r>
              <w:rPr>
                <w:rFonts w:hint="eastAsia" w:ascii="仿宋" w:hAnsi="仿宋" w:eastAsia="仿宋"/>
                <w:b w:val="0"/>
                <w:bCs w:val="0"/>
                <w:spacing w:val="1"/>
                <w:sz w:val="21"/>
                <w:szCs w:val="21"/>
                <w:lang w:eastAsia="zh-CN"/>
              </w:rPr>
              <w:t>1.7.2</w:t>
            </w:r>
          </w:p>
        </w:tc>
        <w:tc>
          <w:tcPr>
            <w:tcW w:w="3480" w:type="dxa"/>
            <w:vAlign w:val="center"/>
          </w:tcPr>
          <w:p>
            <w:pPr>
              <w:pStyle w:val="7"/>
              <w:spacing w:before="58" w:line="220" w:lineRule="auto"/>
              <w:ind w:left="37"/>
              <w:rPr>
                <w:rFonts w:hint="eastAsia" w:ascii="仿宋" w:hAnsi="仿宋" w:eastAsia="仿宋" w:cs="仿宋"/>
                <w:spacing w:val="8"/>
                <w:sz w:val="21"/>
                <w:szCs w:val="21"/>
                <w:lang w:eastAsia="zh-CN"/>
              </w:rPr>
            </w:pPr>
            <w:r>
              <w:rPr>
                <w:rFonts w:hint="eastAsia" w:ascii="仿宋" w:hAnsi="仿宋" w:eastAsia="仿宋" w:cs="仿宋"/>
                <w:spacing w:val="8"/>
                <w:sz w:val="21"/>
                <w:szCs w:val="21"/>
                <w:lang w:eastAsia="zh-CN"/>
              </w:rPr>
              <w:t>建立实验室安全工作档案</w:t>
            </w:r>
          </w:p>
        </w:tc>
        <w:tc>
          <w:tcPr>
            <w:tcW w:w="8055" w:type="dxa"/>
          </w:tcPr>
          <w:p>
            <w:pPr>
              <w:pStyle w:val="7"/>
              <w:spacing w:before="86" w:line="248" w:lineRule="auto"/>
              <w:ind w:left="41" w:right="205"/>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w:t>
            </w:r>
            <w:r>
              <w:rPr>
                <w:rFonts w:hint="eastAsia" w:ascii="仿宋" w:hAnsi="仿宋" w:eastAsia="仿宋"/>
                <w:spacing w:val="-1"/>
                <w:sz w:val="21"/>
                <w:szCs w:val="21"/>
                <w:lang w:val="en-US" w:eastAsia="zh-CN"/>
              </w:rPr>
              <w:t>0)包括责任体系、队伍建设、安全制度、奖惩、教育培训、安全检查、隐患整改、事故调查与处理、专业安全、其他相关的常规或阶段性工作等，且档案分类科学合理，便于查找。</w:t>
            </w:r>
          </w:p>
        </w:tc>
        <w:tc>
          <w:tcPr>
            <w:tcW w:w="2145"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5" w:type="dxa"/>
            <w:vAlign w:val="center"/>
          </w:tcPr>
          <w:p>
            <w:pPr>
              <w:pStyle w:val="7"/>
              <w:spacing w:before="45" w:line="216" w:lineRule="auto"/>
              <w:ind w:left="83"/>
              <w:jc w:val="left"/>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2</w:t>
            </w:r>
          </w:p>
        </w:tc>
        <w:tc>
          <w:tcPr>
            <w:tcW w:w="13680" w:type="dxa"/>
            <w:gridSpan w:val="3"/>
            <w:vAlign w:val="center"/>
          </w:tcPr>
          <w:p>
            <w:pPr>
              <w:pStyle w:val="7"/>
              <w:spacing w:before="59" w:line="221" w:lineRule="auto"/>
              <w:ind w:left="41"/>
              <w:jc w:val="left"/>
              <w:rPr>
                <w:rFonts w:hint="eastAsia" w:ascii="仿宋" w:hAnsi="仿宋" w:eastAsia="仿宋" w:cs="仿宋"/>
                <w:b/>
                <w:bCs/>
                <w:sz w:val="21"/>
                <w:szCs w:val="21"/>
              </w:rPr>
            </w:pPr>
            <w:r>
              <w:rPr>
                <w:rFonts w:hint="eastAsia" w:ascii="仿宋" w:hAnsi="仿宋" w:eastAsia="仿宋" w:cs="仿宋"/>
                <w:b/>
                <w:bCs/>
                <w:spacing w:val="3"/>
                <w:sz w:val="21"/>
                <w:szCs w:val="21"/>
              </w:rPr>
              <w:t>规章制度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705" w:type="dxa"/>
            <w:vAlign w:val="center"/>
          </w:tcPr>
          <w:p>
            <w:pPr>
              <w:pStyle w:val="7"/>
              <w:spacing w:before="45" w:line="216" w:lineRule="auto"/>
              <w:ind w:left="83"/>
              <w:jc w:val="left"/>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2.1</w:t>
            </w:r>
          </w:p>
        </w:tc>
        <w:tc>
          <w:tcPr>
            <w:tcW w:w="13680" w:type="dxa"/>
            <w:gridSpan w:val="3"/>
            <w:vAlign w:val="center"/>
          </w:tcPr>
          <w:p>
            <w:pPr>
              <w:pStyle w:val="7"/>
              <w:spacing w:before="33" w:line="216" w:lineRule="auto"/>
              <w:ind w:left="45"/>
              <w:jc w:val="left"/>
              <w:rPr>
                <w:rFonts w:hint="eastAsia" w:ascii="仿宋" w:hAnsi="仿宋" w:eastAsia="仿宋" w:cs="仿宋"/>
                <w:b/>
                <w:bCs/>
                <w:sz w:val="21"/>
                <w:szCs w:val="21"/>
              </w:rPr>
            </w:pPr>
            <w:r>
              <w:rPr>
                <w:rFonts w:hint="eastAsia" w:ascii="仿宋" w:hAnsi="仿宋" w:eastAsia="仿宋" w:cs="仿宋"/>
                <w:b/>
                <w:bCs/>
                <w:spacing w:val="3"/>
                <w:sz w:val="21"/>
                <w:szCs w:val="21"/>
              </w:rPr>
              <w:t>实验室安全管理制度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05" w:type="dxa"/>
          </w:tcPr>
          <w:p>
            <w:pPr>
              <w:pStyle w:val="7"/>
              <w:spacing w:before="45" w:line="216" w:lineRule="auto"/>
              <w:ind w:left="83"/>
              <w:jc w:val="both"/>
              <w:rPr>
                <w:rFonts w:hint="eastAsia" w:ascii="仿宋" w:hAnsi="仿宋" w:eastAsia="仿宋"/>
                <w:b w:val="0"/>
                <w:bCs w:val="0"/>
                <w:spacing w:val="1"/>
                <w:sz w:val="21"/>
                <w:szCs w:val="21"/>
                <w:lang w:eastAsia="zh-CN"/>
              </w:rPr>
            </w:pPr>
          </w:p>
          <w:p>
            <w:pPr>
              <w:pStyle w:val="7"/>
              <w:spacing w:before="45" w:line="216" w:lineRule="auto"/>
              <w:ind w:left="83"/>
              <w:jc w:val="both"/>
              <w:rPr>
                <w:rFonts w:hint="eastAsia" w:ascii="仿宋" w:hAnsi="仿宋" w:eastAsia="仿宋"/>
                <w:b w:val="0"/>
                <w:bCs w:val="0"/>
                <w:spacing w:val="1"/>
                <w:sz w:val="21"/>
                <w:szCs w:val="21"/>
                <w:lang w:eastAsia="zh-CN"/>
              </w:rPr>
            </w:pPr>
            <w:r>
              <w:rPr>
                <w:rFonts w:hint="eastAsia" w:ascii="仿宋" w:hAnsi="仿宋" w:eastAsia="仿宋"/>
                <w:b w:val="0"/>
                <w:bCs w:val="0"/>
                <w:spacing w:val="1"/>
                <w:sz w:val="21"/>
                <w:szCs w:val="21"/>
                <w:lang w:eastAsia="zh-CN"/>
              </w:rPr>
              <w:t>2.1.1</w:t>
            </w:r>
          </w:p>
        </w:tc>
        <w:tc>
          <w:tcPr>
            <w:tcW w:w="3480" w:type="dxa"/>
            <w:vAlign w:val="center"/>
          </w:tcPr>
          <w:p>
            <w:pPr>
              <w:pStyle w:val="7"/>
              <w:spacing w:before="45" w:line="216" w:lineRule="auto"/>
              <w:ind w:left="83"/>
              <w:jc w:val="both"/>
              <w:rPr>
                <w:rFonts w:hint="eastAsia" w:ascii="仿宋" w:hAnsi="仿宋" w:eastAsia="仿宋" w:cs="仿宋"/>
                <w:lang w:eastAsia="zh-CN"/>
              </w:rPr>
            </w:pPr>
            <w:r>
              <w:rPr>
                <w:rFonts w:hint="eastAsia" w:ascii="仿宋" w:hAnsi="仿宋" w:eastAsia="仿宋"/>
                <w:spacing w:val="-1"/>
                <w:sz w:val="21"/>
                <w:szCs w:val="21"/>
                <w:lang w:eastAsia="zh-CN"/>
              </w:rPr>
              <w:t>学校和院系应有正式发文的实验室安全管理制度</w:t>
            </w:r>
          </w:p>
        </w:tc>
        <w:tc>
          <w:tcPr>
            <w:tcW w:w="8055" w:type="dxa"/>
          </w:tcPr>
          <w:p>
            <w:pPr>
              <w:pStyle w:val="7"/>
              <w:spacing w:before="96" w:line="235" w:lineRule="auto"/>
              <w:jc w:val="both"/>
              <w:rPr>
                <w:rFonts w:hint="eastAsia" w:ascii="仿宋" w:hAnsi="仿宋" w:eastAsia="仿宋" w:cs="仿宋"/>
                <w:lang w:eastAsia="zh-CN"/>
              </w:rPr>
            </w:pPr>
            <w:r>
              <w:rPr>
                <w:rFonts w:hint="eastAsia" w:ascii="仿宋" w:hAnsi="仿宋" w:eastAsia="仿宋" w:cs="宋体"/>
                <w:snapToGrid w:val="0"/>
                <w:color w:val="000000"/>
                <w:spacing w:val="1"/>
                <w:sz w:val="21"/>
                <w:szCs w:val="21"/>
                <w:lang w:val="en-US" w:eastAsia="zh-CN" w:bidi="ar-SA"/>
              </w:rPr>
              <w:t>(</w:t>
            </w:r>
            <w:r>
              <w:rPr>
                <w:rFonts w:hint="eastAsia" w:ascii="仿宋" w:hAnsi="仿宋" w:eastAsia="仿宋"/>
                <w:spacing w:val="-1"/>
                <w:sz w:val="21"/>
                <w:szCs w:val="21"/>
                <w:lang w:eastAsia="zh-CN"/>
              </w:rPr>
              <w:t>21)有正式发文的实验室安全管理制度，内容包括上位法依据、实验室范围、安全管理原则、组织架构、责任体系、奖惩、事故处理、责任与追究、安全文化等要素。</w:t>
            </w:r>
          </w:p>
        </w:tc>
        <w:tc>
          <w:tcPr>
            <w:tcW w:w="2145" w:type="dxa"/>
          </w:tcPr>
          <w:p>
            <w:pPr>
              <w:rPr>
                <w:rFonts w:hint="eastAsia" w:ascii="仿宋" w:hAnsi="仿宋" w:eastAsia="仿宋" w:cs="仿宋"/>
                <w:lang w:eastAsia="zh-CN"/>
              </w:rPr>
            </w:pPr>
          </w:p>
        </w:tc>
      </w:tr>
    </w:tbl>
    <w:p>
      <w:pPr>
        <w:spacing w:line="160" w:lineRule="exact"/>
        <w:rPr>
          <w:sz w:val="13"/>
          <w:szCs w:val="13"/>
          <w:lang w:eastAsia="zh-CN"/>
        </w:rPr>
        <w:sectPr>
          <w:footerReference r:id="rId4" w:type="default"/>
          <w:pgSz w:w="16841" w:h="11912"/>
          <w:pgMar w:top="1012" w:right="1848" w:bottom="1584" w:left="1841" w:header="0" w:footer="1450" w:gutter="0"/>
          <w:cols w:space="720" w:num="1"/>
        </w:sectPr>
      </w:pPr>
    </w:p>
    <w:tbl>
      <w:tblPr>
        <w:tblStyle w:val="6"/>
        <w:tblpPr w:leftFromText="180" w:rightFromText="180" w:vertAnchor="text" w:horzAnchor="page" w:tblpX="1143" w:tblpY="156"/>
        <w:tblOverlap w:val="never"/>
        <w:tblW w:w="143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3400"/>
        <w:gridCol w:w="8125"/>
        <w:gridCol w:w="2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5" w:type="dxa"/>
            <w:vAlign w:val="top"/>
          </w:tcPr>
          <w:p>
            <w:pPr>
              <w:pStyle w:val="7"/>
              <w:spacing w:before="36" w:line="223" w:lineRule="auto"/>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3"/>
                <w:sz w:val="21"/>
                <w:szCs w:val="21"/>
              </w:rPr>
              <w:t>序号</w:t>
            </w:r>
          </w:p>
        </w:tc>
        <w:tc>
          <w:tcPr>
            <w:tcW w:w="3400"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10"/>
                <w:sz w:val="21"/>
                <w:szCs w:val="21"/>
              </w:rPr>
              <w:t>检查项目</w:t>
            </w:r>
          </w:p>
        </w:tc>
        <w:tc>
          <w:tcPr>
            <w:tcW w:w="8125"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4"/>
                <w:sz w:val="21"/>
                <w:szCs w:val="21"/>
              </w:rPr>
              <w:t>检查要点</w:t>
            </w:r>
          </w:p>
        </w:tc>
        <w:tc>
          <w:tcPr>
            <w:tcW w:w="2087"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5" w:type="dxa"/>
          </w:tcPr>
          <w:p>
            <w:pPr>
              <w:pStyle w:val="7"/>
              <w:spacing w:before="98" w:line="145" w:lineRule="exact"/>
              <w:ind w:left="40"/>
              <w:rPr>
                <w:rFonts w:hint="eastAsia" w:ascii="仿宋" w:hAnsi="仿宋" w:eastAsia="仿宋" w:cs="仿宋"/>
                <w:b/>
                <w:bCs/>
                <w:spacing w:val="-3"/>
                <w:position w:val="-2"/>
                <w:sz w:val="21"/>
                <w:szCs w:val="21"/>
              </w:rPr>
            </w:pPr>
            <w:r>
              <w:rPr>
                <w:rFonts w:hint="eastAsia" w:ascii="仿宋" w:hAnsi="仿宋" w:eastAsia="仿宋" w:cs="仿宋"/>
                <w:b/>
                <w:bCs/>
                <w:spacing w:val="-3"/>
                <w:position w:val="-2"/>
                <w:sz w:val="21"/>
                <w:szCs w:val="21"/>
              </w:rPr>
              <w:t>2.2</w:t>
            </w:r>
          </w:p>
        </w:tc>
        <w:tc>
          <w:tcPr>
            <w:tcW w:w="13612" w:type="dxa"/>
            <w:gridSpan w:val="3"/>
          </w:tcPr>
          <w:p>
            <w:pPr>
              <w:pStyle w:val="7"/>
              <w:spacing w:before="26" w:line="223" w:lineRule="auto"/>
              <w:ind w:left="77"/>
              <w:rPr>
                <w:rFonts w:hint="eastAsia" w:ascii="仿宋" w:hAnsi="仿宋" w:eastAsia="仿宋" w:cs="仿宋"/>
                <w:lang w:eastAsia="zh-CN"/>
              </w:rPr>
            </w:pPr>
            <w:r>
              <w:rPr>
                <w:rFonts w:hint="eastAsia" w:ascii="仿宋" w:hAnsi="仿宋" w:eastAsia="仿宋" w:cs="仿宋"/>
                <w:b/>
                <w:bCs/>
                <w:spacing w:val="6"/>
                <w:sz w:val="21"/>
                <w:szCs w:val="21"/>
                <w:lang w:eastAsia="zh-CN"/>
              </w:rPr>
              <w:t>实验室安全管理办法或细则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05" w:type="dxa"/>
          </w:tcPr>
          <w:p>
            <w:pPr>
              <w:pStyle w:val="7"/>
              <w:spacing w:before="98" w:line="145" w:lineRule="exact"/>
              <w:ind w:left="40"/>
              <w:rPr>
                <w:rFonts w:hint="eastAsia" w:ascii="仿宋" w:hAnsi="仿宋" w:eastAsia="仿宋" w:cs="仿宋"/>
                <w:b/>
                <w:bCs/>
                <w:spacing w:val="-3"/>
                <w:position w:val="-2"/>
                <w:sz w:val="21"/>
                <w:szCs w:val="21"/>
                <w:lang w:eastAsia="zh-CN"/>
              </w:rPr>
            </w:pPr>
          </w:p>
          <w:p>
            <w:pPr>
              <w:pStyle w:val="7"/>
              <w:spacing w:before="98" w:line="145" w:lineRule="exact"/>
              <w:ind w:left="40"/>
              <w:rPr>
                <w:rFonts w:hint="eastAsia" w:ascii="仿宋" w:hAnsi="仿宋" w:eastAsia="仿宋" w:cs="仿宋"/>
                <w:b/>
                <w:bCs/>
                <w:spacing w:val="-3"/>
                <w:position w:val="-2"/>
                <w:sz w:val="21"/>
                <w:szCs w:val="21"/>
                <w:lang w:eastAsia="zh-CN"/>
              </w:rPr>
            </w:pPr>
            <w:r>
              <w:rPr>
                <w:rFonts w:hint="eastAsia" w:ascii="仿宋" w:hAnsi="仿宋" w:eastAsia="仿宋" w:cs="仿宋"/>
                <w:b w:val="0"/>
                <w:bCs w:val="0"/>
                <w:spacing w:val="-3"/>
                <w:position w:val="-2"/>
                <w:sz w:val="21"/>
                <w:szCs w:val="21"/>
                <w:lang w:eastAsia="zh-CN"/>
              </w:rPr>
              <w:t>2.2.1</w:t>
            </w:r>
          </w:p>
        </w:tc>
        <w:tc>
          <w:tcPr>
            <w:tcW w:w="3400"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有正式发文的实验室安全管理办法或细则</w:t>
            </w:r>
          </w:p>
        </w:tc>
        <w:tc>
          <w:tcPr>
            <w:tcW w:w="8125"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(22)依据危险源情况制定实验室分级分类、准入管理、安全检查，以及各类安全等二级管理办法，文件应具有可操作性或实际管理效用，及时修订更新，并正式发文。</w:t>
            </w:r>
          </w:p>
        </w:tc>
        <w:tc>
          <w:tcPr>
            <w:tcW w:w="2087" w:type="dxa"/>
          </w:tcPr>
          <w:p>
            <w:pP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05" w:type="dxa"/>
          </w:tcPr>
          <w:p>
            <w:pPr>
              <w:pStyle w:val="7"/>
              <w:spacing w:before="98" w:line="145" w:lineRule="exact"/>
              <w:ind w:left="40"/>
              <w:rPr>
                <w:rFonts w:hint="eastAsia" w:ascii="仿宋" w:hAnsi="仿宋" w:eastAsia="仿宋" w:cs="仿宋"/>
                <w:b/>
                <w:bCs/>
                <w:spacing w:val="-3"/>
                <w:position w:val="-2"/>
                <w:sz w:val="21"/>
                <w:szCs w:val="21"/>
                <w:lang w:eastAsia="zh-CN"/>
              </w:rPr>
            </w:pPr>
            <w:r>
              <w:rPr>
                <w:rFonts w:hint="eastAsia" w:ascii="仿宋" w:hAnsi="仿宋" w:eastAsia="仿宋" w:cs="仿宋"/>
                <w:b/>
                <w:bCs/>
                <w:spacing w:val="-3"/>
                <w:position w:val="-2"/>
                <w:sz w:val="21"/>
                <w:szCs w:val="21"/>
                <w:lang w:eastAsia="zh-CN"/>
              </w:rPr>
              <w:t>2.3</w:t>
            </w:r>
          </w:p>
        </w:tc>
        <w:tc>
          <w:tcPr>
            <w:tcW w:w="13612" w:type="dxa"/>
            <w:gridSpan w:val="3"/>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b/>
                <w:bCs/>
                <w:spacing w:val="1"/>
                <w:sz w:val="21"/>
                <w:szCs w:val="21"/>
                <w:lang w:eastAsia="zh-CN"/>
              </w:rPr>
              <w:t>安全应急制度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705" w:type="dxa"/>
          </w:tcPr>
          <w:p>
            <w:pPr>
              <w:pStyle w:val="7"/>
              <w:spacing w:before="98" w:line="145" w:lineRule="exact"/>
              <w:ind w:left="40"/>
              <w:rPr>
                <w:rFonts w:hint="eastAsia" w:ascii="仿宋" w:hAnsi="仿宋" w:eastAsia="仿宋" w:cs="仿宋"/>
                <w:b/>
                <w:bCs/>
                <w:spacing w:val="-3"/>
                <w:position w:val="-2"/>
                <w:sz w:val="21"/>
                <w:szCs w:val="21"/>
                <w:lang w:eastAsia="zh-CN"/>
              </w:rPr>
            </w:pPr>
          </w:p>
          <w:p>
            <w:pPr>
              <w:pStyle w:val="7"/>
              <w:spacing w:before="98" w:line="145" w:lineRule="exact"/>
              <w:ind w:left="40"/>
              <w:rPr>
                <w:rFonts w:hint="eastAsia" w:ascii="仿宋" w:hAnsi="仿宋" w:eastAsia="仿宋" w:cs="仿宋"/>
                <w:b/>
                <w:bCs/>
                <w:spacing w:val="-3"/>
                <w:position w:val="-2"/>
                <w:sz w:val="21"/>
                <w:szCs w:val="21"/>
                <w:lang w:eastAsia="zh-CN"/>
              </w:rPr>
            </w:pPr>
            <w:r>
              <w:rPr>
                <w:rFonts w:hint="eastAsia" w:ascii="仿宋" w:hAnsi="仿宋" w:eastAsia="仿宋" w:cs="仿宋"/>
                <w:b w:val="0"/>
                <w:bCs w:val="0"/>
                <w:spacing w:val="-3"/>
                <w:position w:val="-2"/>
                <w:sz w:val="21"/>
                <w:szCs w:val="21"/>
                <w:lang w:eastAsia="zh-CN"/>
              </w:rPr>
              <w:t>2.3.1</w:t>
            </w:r>
          </w:p>
        </w:tc>
        <w:tc>
          <w:tcPr>
            <w:tcW w:w="3400" w:type="dxa"/>
          </w:tcPr>
          <w:p>
            <w:pPr>
              <w:pStyle w:val="7"/>
              <w:spacing w:before="45" w:line="216" w:lineRule="auto"/>
              <w:ind w:left="83"/>
              <w:jc w:val="both"/>
              <w:rPr>
                <w:rFonts w:hint="eastAsia" w:ascii="仿宋" w:hAnsi="仿宋" w:eastAsia="仿宋"/>
                <w:spacing w:val="1"/>
                <w:sz w:val="21"/>
                <w:szCs w:val="21"/>
                <w:lang w:eastAsia="zh-CN"/>
              </w:rPr>
            </w:pPr>
          </w:p>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学校、院系、实验室有相应的应急预案</w:t>
            </w:r>
          </w:p>
        </w:tc>
        <w:tc>
          <w:tcPr>
            <w:tcW w:w="8125"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(23)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087" w:type="dxa"/>
          </w:tcPr>
          <w:p>
            <w:pP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0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w:t>
            </w:r>
          </w:p>
        </w:tc>
        <w:tc>
          <w:tcPr>
            <w:tcW w:w="13612" w:type="dxa"/>
            <w:gridSpan w:val="3"/>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b/>
                <w:bCs/>
                <w:spacing w:val="1"/>
                <w:sz w:val="21"/>
                <w:szCs w:val="21"/>
                <w:lang w:eastAsia="zh-CN"/>
              </w:rPr>
              <w:t>教育培训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0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3.1</w:t>
            </w:r>
          </w:p>
        </w:tc>
        <w:tc>
          <w:tcPr>
            <w:tcW w:w="13612" w:type="dxa"/>
            <w:gridSpan w:val="3"/>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安全教育培训活动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5" w:type="dxa"/>
            <w:vAlign w:val="bottom"/>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85"/>
              <w:jc w:val="both"/>
              <w:textAlignment w:val="baseline"/>
              <w:rPr>
                <w:rFonts w:hint="eastAsia" w:ascii="仿宋" w:hAnsi="仿宋" w:eastAsia="仿宋"/>
                <w:spacing w:val="1"/>
                <w:sz w:val="21"/>
                <w:szCs w:val="21"/>
                <w:lang w:eastAsia="zh-CN"/>
              </w:rPr>
            </w:pPr>
            <w:r>
              <w:rPr>
                <w:rFonts w:hint="eastAsia" w:ascii="仿宋" w:hAnsi="仿宋" w:eastAsia="仿宋"/>
                <w:spacing w:val="1"/>
                <w:sz w:val="21"/>
                <w:szCs w:val="21"/>
                <w:lang w:eastAsia="zh-CN"/>
              </w:rPr>
              <w:t>3.1.1</w:t>
            </w:r>
          </w:p>
        </w:tc>
        <w:tc>
          <w:tcPr>
            <w:tcW w:w="3400" w:type="dxa"/>
            <w:vAlign w:val="bottom"/>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85"/>
              <w:jc w:val="both"/>
              <w:textAlignment w:val="baseline"/>
              <w:rPr>
                <w:rFonts w:hint="eastAsia" w:ascii="仿宋" w:hAnsi="仿宋" w:eastAsia="仿宋"/>
                <w:spacing w:val="1"/>
                <w:sz w:val="21"/>
                <w:szCs w:val="21"/>
                <w:lang w:eastAsia="zh-CN"/>
              </w:rPr>
            </w:pPr>
            <w:r>
              <w:rPr>
                <w:rFonts w:hint="eastAsia" w:ascii="仿宋" w:hAnsi="仿宋" w:eastAsia="仿宋"/>
                <w:spacing w:val="1"/>
                <w:sz w:val="21"/>
                <w:szCs w:val="21"/>
                <w:lang w:eastAsia="zh-CN"/>
              </w:rPr>
              <w:t>开设实验室安全必修课或选修课</w:t>
            </w:r>
          </w:p>
        </w:tc>
        <w:tc>
          <w:tcPr>
            <w:tcW w:w="812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(24)对于有重要危险源(见第15目)的院系和专业，要开设有学分的安全教育必修课或将安全教育课程纳入必修环节；鼓励其他专业开设安全选修课。</w:t>
            </w:r>
          </w:p>
        </w:tc>
        <w:tc>
          <w:tcPr>
            <w:tcW w:w="2087"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705" w:type="dxa"/>
          </w:tcPr>
          <w:p>
            <w:pPr>
              <w:pStyle w:val="7"/>
              <w:spacing w:before="45" w:line="216" w:lineRule="auto"/>
              <w:ind w:left="83"/>
              <w:jc w:val="both"/>
              <w:rPr>
                <w:rFonts w:hint="eastAsia" w:ascii="仿宋" w:hAnsi="仿宋" w:eastAsia="仿宋"/>
                <w:spacing w:val="1"/>
                <w:sz w:val="21"/>
                <w:szCs w:val="21"/>
                <w:lang w:eastAsia="zh-CN"/>
              </w:rPr>
            </w:pPr>
          </w:p>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3.1.2</w:t>
            </w:r>
          </w:p>
        </w:tc>
        <w:tc>
          <w:tcPr>
            <w:tcW w:w="3400" w:type="dxa"/>
          </w:tcPr>
          <w:p>
            <w:pPr>
              <w:pStyle w:val="7"/>
              <w:spacing w:before="45" w:line="216" w:lineRule="auto"/>
              <w:ind w:left="83"/>
              <w:jc w:val="both"/>
              <w:rPr>
                <w:rFonts w:hint="eastAsia" w:ascii="仿宋" w:hAnsi="仿宋" w:eastAsia="仿宋"/>
                <w:spacing w:val="1"/>
                <w:sz w:val="21"/>
                <w:szCs w:val="21"/>
                <w:lang w:eastAsia="zh-CN"/>
              </w:rPr>
            </w:pPr>
          </w:p>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开展安全教育培训活动</w:t>
            </w:r>
          </w:p>
        </w:tc>
        <w:tc>
          <w:tcPr>
            <w:tcW w:w="812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(25)校级层面有档案证明开展了实验室安全教育培训。</w:t>
            </w:r>
          </w:p>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(26)院系层面有档案证明开展了实验室安全教育培训，重点关注外来人员和研究生新生。</w:t>
            </w:r>
          </w:p>
        </w:tc>
        <w:tc>
          <w:tcPr>
            <w:tcW w:w="2087"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0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3.1.3</w:t>
            </w:r>
          </w:p>
        </w:tc>
        <w:tc>
          <w:tcPr>
            <w:tcW w:w="3400"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开展结合学科特点的应急演练</w:t>
            </w:r>
          </w:p>
        </w:tc>
        <w:tc>
          <w:tcPr>
            <w:tcW w:w="812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(27)有实验室安全事故应急演练。</w:t>
            </w:r>
          </w:p>
        </w:tc>
        <w:tc>
          <w:tcPr>
            <w:tcW w:w="2087"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5"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3.1.4</w:t>
            </w:r>
          </w:p>
        </w:tc>
        <w:tc>
          <w:tcPr>
            <w:tcW w:w="3400"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组织实验室安全知识考试</w:t>
            </w:r>
          </w:p>
        </w:tc>
        <w:tc>
          <w:tcPr>
            <w:tcW w:w="812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(28)建设有考试系统或考试题库并及时更新，从事实验工作的学生、教职工及外来人员均须参加考试，通过者发放合格证书或保留记录。</w:t>
            </w:r>
          </w:p>
        </w:tc>
        <w:tc>
          <w:tcPr>
            <w:tcW w:w="2087"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05" w:type="dxa"/>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3.2</w:t>
            </w:r>
          </w:p>
        </w:tc>
        <w:tc>
          <w:tcPr>
            <w:tcW w:w="13612" w:type="dxa"/>
            <w:gridSpan w:val="3"/>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安全文化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705" w:type="dxa"/>
          </w:tcPr>
          <w:p>
            <w:pPr>
              <w:pStyle w:val="7"/>
              <w:spacing w:before="45" w:line="216" w:lineRule="auto"/>
              <w:ind w:left="83"/>
              <w:jc w:val="both"/>
              <w:rPr>
                <w:rFonts w:hint="eastAsia" w:ascii="仿宋" w:hAnsi="仿宋" w:eastAsia="仿宋"/>
                <w:spacing w:val="1"/>
                <w:sz w:val="21"/>
                <w:szCs w:val="21"/>
                <w:lang w:eastAsia="zh-CN"/>
              </w:rPr>
            </w:pPr>
          </w:p>
          <w:p>
            <w:pPr>
              <w:pStyle w:val="7"/>
              <w:spacing w:before="45" w:line="216" w:lineRule="auto"/>
              <w:ind w:left="83"/>
              <w:jc w:val="both"/>
              <w:rPr>
                <w:rFonts w:hint="eastAsia" w:ascii="仿宋" w:hAnsi="仿宋" w:eastAsia="仿宋"/>
                <w:spacing w:val="1"/>
                <w:sz w:val="21"/>
                <w:szCs w:val="21"/>
                <w:lang w:eastAsia="zh-CN"/>
              </w:rPr>
            </w:pPr>
          </w:p>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3.2.1</w:t>
            </w:r>
          </w:p>
        </w:tc>
        <w:tc>
          <w:tcPr>
            <w:tcW w:w="3400" w:type="dxa"/>
          </w:tcPr>
          <w:p>
            <w:pPr>
              <w:pStyle w:val="7"/>
              <w:spacing w:before="45" w:line="216" w:lineRule="auto"/>
              <w:ind w:left="83"/>
              <w:jc w:val="both"/>
              <w:rPr>
                <w:rFonts w:hint="eastAsia" w:ascii="仿宋" w:hAnsi="仿宋" w:eastAsia="仿宋"/>
                <w:spacing w:val="1"/>
                <w:sz w:val="21"/>
                <w:szCs w:val="21"/>
                <w:lang w:eastAsia="zh-CN"/>
              </w:rPr>
            </w:pPr>
          </w:p>
          <w:p>
            <w:pPr>
              <w:pStyle w:val="7"/>
              <w:spacing w:before="45" w:line="216" w:lineRule="auto"/>
              <w:ind w:left="83"/>
              <w:jc w:val="both"/>
              <w:rPr>
                <w:rFonts w:hint="eastAsia" w:ascii="仿宋" w:hAnsi="仿宋" w:eastAsia="仿宋"/>
                <w:spacing w:val="1"/>
                <w:sz w:val="21"/>
                <w:szCs w:val="21"/>
                <w:lang w:eastAsia="zh-CN"/>
              </w:rPr>
            </w:pPr>
          </w:p>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建设有学校特色的安全文化</w:t>
            </w:r>
          </w:p>
        </w:tc>
        <w:tc>
          <w:tcPr>
            <w:tcW w:w="8125"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(29)学校有网页设立专栏开展安全宣传。</w:t>
            </w:r>
          </w:p>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(30)编印学校实验室安全手册，将实验室安全手册发放到每一位从事实验活动的师生。</w:t>
            </w:r>
          </w:p>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(31)创新宣传教育形式，通过微信公众号、微博、工作简报、文化月、专项整治活动、安全评估、知识竞赛、微电影等方式，加强安全宣传。</w:t>
            </w:r>
          </w:p>
        </w:tc>
        <w:tc>
          <w:tcPr>
            <w:tcW w:w="2087"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5"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3.2.2</w:t>
            </w:r>
          </w:p>
        </w:tc>
        <w:tc>
          <w:tcPr>
            <w:tcW w:w="3400"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建立实验室安全隐患举报制度</w:t>
            </w:r>
          </w:p>
        </w:tc>
        <w:tc>
          <w:tcPr>
            <w:tcW w:w="8125" w:type="dxa"/>
            <w:vAlign w:val="center"/>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(32)建立实验室安全隐患举报制度，公布实验室安全隐患举报邮箱、电话、信箱等。</w:t>
            </w:r>
          </w:p>
        </w:tc>
        <w:tc>
          <w:tcPr>
            <w:tcW w:w="2087" w:type="dxa"/>
          </w:tcPr>
          <w:p>
            <w:pPr>
              <w:rPr>
                <w:rFonts w:hint="eastAsia"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05" w:type="dxa"/>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4</w:t>
            </w:r>
          </w:p>
        </w:tc>
        <w:tc>
          <w:tcPr>
            <w:tcW w:w="13612" w:type="dxa"/>
            <w:gridSpan w:val="3"/>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安全准入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05" w:type="dxa"/>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4.1</w:t>
            </w:r>
          </w:p>
        </w:tc>
        <w:tc>
          <w:tcPr>
            <w:tcW w:w="11525" w:type="dxa"/>
            <w:gridSpan w:val="2"/>
          </w:tcPr>
          <w:p>
            <w:pPr>
              <w:pStyle w:val="7"/>
              <w:spacing w:before="45" w:line="216" w:lineRule="auto"/>
              <w:ind w:left="83"/>
              <w:jc w:val="both"/>
              <w:rPr>
                <w:rFonts w:hint="eastAsia" w:ascii="仿宋" w:hAnsi="仿宋" w:eastAsia="仿宋"/>
                <w:b/>
                <w:bCs/>
                <w:spacing w:val="1"/>
                <w:sz w:val="21"/>
                <w:szCs w:val="21"/>
                <w:lang w:eastAsia="zh-CN"/>
              </w:rPr>
            </w:pPr>
            <w:r>
              <w:rPr>
                <w:rFonts w:hint="eastAsia" w:ascii="仿宋" w:hAnsi="仿宋" w:eastAsia="仿宋"/>
                <w:b/>
                <w:bCs/>
                <w:spacing w:val="1"/>
                <w:sz w:val="21"/>
                <w:szCs w:val="21"/>
                <w:lang w:eastAsia="zh-CN"/>
              </w:rPr>
              <w:t>项目安全准入</w:t>
            </w:r>
          </w:p>
        </w:tc>
        <w:tc>
          <w:tcPr>
            <w:tcW w:w="2087" w:type="dxa"/>
          </w:tcPr>
          <w:p>
            <w:pP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4.1.1</w:t>
            </w:r>
          </w:p>
        </w:tc>
        <w:tc>
          <w:tcPr>
            <w:tcW w:w="3400"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对项目进行实验室安全风险评估，</w:t>
            </w:r>
          </w:p>
        </w:tc>
        <w:tc>
          <w:tcPr>
            <w:tcW w:w="8125" w:type="dxa"/>
          </w:tcPr>
          <w:p>
            <w:pPr>
              <w:pStyle w:val="7"/>
              <w:spacing w:before="45" w:line="216" w:lineRule="auto"/>
              <w:ind w:left="83"/>
              <w:jc w:val="both"/>
              <w:rPr>
                <w:rFonts w:hint="eastAsia" w:ascii="仿宋" w:hAnsi="仿宋" w:eastAsia="仿宋"/>
                <w:spacing w:val="1"/>
                <w:sz w:val="21"/>
                <w:szCs w:val="21"/>
                <w:lang w:eastAsia="zh-CN"/>
              </w:rPr>
            </w:pPr>
            <w:r>
              <w:rPr>
                <w:rFonts w:hint="eastAsia" w:ascii="仿宋" w:hAnsi="仿宋" w:eastAsia="仿宋"/>
                <w:spacing w:val="1"/>
                <w:sz w:val="21"/>
                <w:szCs w:val="21"/>
                <w:lang w:eastAsia="zh-CN"/>
              </w:rPr>
              <w:t>(33)项目负责人负责对实验项目进行危险源辨识、风险评估和控制，制定现场处置方</w:t>
            </w:r>
          </w:p>
        </w:tc>
        <w:tc>
          <w:tcPr>
            <w:tcW w:w="2087" w:type="dxa"/>
          </w:tcPr>
          <w:p>
            <w:pPr>
              <w:rPr>
                <w:rFonts w:hint="eastAsia" w:ascii="仿宋" w:hAnsi="仿宋" w:eastAsia="仿宋" w:cs="仿宋"/>
                <w:lang w:eastAsia="zh-CN"/>
              </w:rPr>
            </w:pPr>
          </w:p>
        </w:tc>
      </w:tr>
    </w:tbl>
    <w:p>
      <w:pPr>
        <w:spacing w:line="150" w:lineRule="exact"/>
        <w:rPr>
          <w:sz w:val="13"/>
          <w:szCs w:val="13"/>
          <w:lang w:eastAsia="zh-CN"/>
        </w:rPr>
        <w:sectPr>
          <w:footerReference r:id="rId5" w:type="default"/>
          <w:pgSz w:w="16841" w:h="11912"/>
          <w:pgMar w:top="1012" w:right="1781" w:bottom="1534" w:left="1848" w:header="0" w:footer="1400" w:gutter="0"/>
          <w:cols w:space="720" w:num="1"/>
        </w:sectPr>
      </w:pPr>
    </w:p>
    <w:tbl>
      <w:tblPr>
        <w:tblStyle w:val="6"/>
        <w:tblpPr w:leftFromText="180" w:rightFromText="180" w:vertAnchor="text" w:horzAnchor="page" w:tblpX="1128" w:tblpY="75"/>
        <w:tblOverlap w:val="never"/>
        <w:tblW w:w="143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3614"/>
        <w:gridCol w:w="7916"/>
        <w:gridCol w:w="2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714" w:type="dxa"/>
            <w:vAlign w:val="top"/>
          </w:tcPr>
          <w:p>
            <w:pPr>
              <w:pStyle w:val="7"/>
              <w:spacing w:before="36" w:line="223" w:lineRule="auto"/>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3"/>
                <w:sz w:val="21"/>
                <w:szCs w:val="21"/>
              </w:rPr>
              <w:t>序号</w:t>
            </w:r>
          </w:p>
        </w:tc>
        <w:tc>
          <w:tcPr>
            <w:tcW w:w="3614"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10"/>
                <w:sz w:val="21"/>
                <w:szCs w:val="21"/>
              </w:rPr>
              <w:t>检查项目</w:t>
            </w:r>
          </w:p>
        </w:tc>
        <w:tc>
          <w:tcPr>
            <w:tcW w:w="7916"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4"/>
                <w:sz w:val="21"/>
                <w:szCs w:val="21"/>
              </w:rPr>
              <w:t>检查要点</w:t>
            </w:r>
          </w:p>
        </w:tc>
        <w:tc>
          <w:tcPr>
            <w:tcW w:w="2114"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714" w:type="dxa"/>
          </w:tcPr>
          <w:p>
            <w:pPr>
              <w:rPr>
                <w:rFonts w:hint="eastAsia" w:ascii="仿宋" w:hAnsi="仿宋" w:eastAsia="仿宋" w:cs="宋体"/>
                <w:snapToGrid w:val="0"/>
                <w:color w:val="000000"/>
                <w:spacing w:val="1"/>
                <w:sz w:val="21"/>
                <w:szCs w:val="21"/>
                <w:lang w:val="en-US" w:eastAsia="zh-CN" w:bidi="ar-SA"/>
              </w:rPr>
            </w:pPr>
          </w:p>
        </w:tc>
        <w:tc>
          <w:tcPr>
            <w:tcW w:w="3614" w:type="dxa"/>
          </w:tcPr>
          <w:p>
            <w:pPr>
              <w:pStyle w:val="7"/>
              <w:spacing w:before="27" w:line="224" w:lineRule="auto"/>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保证</w:t>
            </w:r>
            <w:r>
              <w:rPr>
                <w:rFonts w:hint="eastAsia" w:ascii="仿宋" w:hAnsi="仿宋" w:eastAsia="仿宋"/>
                <w:spacing w:val="-1"/>
                <w:sz w:val="21"/>
                <w:szCs w:val="21"/>
                <w:lang w:val="en-US" w:eastAsia="zh-CN"/>
              </w:rPr>
              <w:t>实验室满足开展项目活动的安全条件</w:t>
            </w:r>
          </w:p>
        </w:tc>
        <w:tc>
          <w:tcPr>
            <w:tcW w:w="7916" w:type="dxa"/>
            <w:vAlign w:val="center"/>
          </w:tcPr>
          <w:p>
            <w:pPr>
              <w:pStyle w:val="7"/>
              <w:spacing w:before="27" w:line="224" w:lineRule="auto"/>
              <w:jc w:val="left"/>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案，指导有关人员做好安全防护。</w:t>
            </w:r>
          </w:p>
        </w:tc>
        <w:tc>
          <w:tcPr>
            <w:tcW w:w="2114"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14" w:type="dxa"/>
          </w:tcPr>
          <w:p>
            <w:pPr>
              <w:pStyle w:val="7"/>
              <w:spacing w:before="45" w:line="216" w:lineRule="auto"/>
              <w:ind w:left="83"/>
              <w:jc w:val="both"/>
              <w:rPr>
                <w:rFonts w:hint="eastAsia" w:ascii="仿宋" w:hAnsi="仿宋" w:eastAsia="仿宋"/>
                <w:b/>
                <w:bCs/>
                <w:spacing w:val="1"/>
                <w:sz w:val="21"/>
                <w:szCs w:val="21"/>
                <w:lang w:val="en-US" w:eastAsia="zh-CN"/>
              </w:rPr>
            </w:pPr>
            <w:r>
              <w:rPr>
                <w:rFonts w:hint="eastAsia" w:ascii="仿宋" w:hAnsi="仿宋" w:eastAsia="仿宋"/>
                <w:b/>
                <w:bCs/>
                <w:spacing w:val="1"/>
                <w:sz w:val="21"/>
                <w:szCs w:val="21"/>
                <w:lang w:val="en-US" w:eastAsia="zh-CN"/>
              </w:rPr>
              <w:t>4.2</w:t>
            </w:r>
          </w:p>
        </w:tc>
        <w:tc>
          <w:tcPr>
            <w:tcW w:w="11530" w:type="dxa"/>
            <w:gridSpan w:val="2"/>
          </w:tcPr>
          <w:p>
            <w:pPr>
              <w:pStyle w:val="7"/>
              <w:spacing w:before="37" w:line="222" w:lineRule="auto"/>
              <w:ind w:left="43"/>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人员安全准入</w:t>
            </w:r>
          </w:p>
        </w:tc>
        <w:tc>
          <w:tcPr>
            <w:tcW w:w="2114"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14"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4.2.1</w:t>
            </w:r>
          </w:p>
        </w:tc>
        <w:tc>
          <w:tcPr>
            <w:tcW w:w="3614"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实验人员须经过安全培训和考核，获得实验室安全准入资格</w:t>
            </w:r>
          </w:p>
        </w:tc>
        <w:tc>
          <w:tcPr>
            <w:tcW w:w="791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(34)实验人员应获得实验室准入资格，并严格遵守各项管理制度。</w:t>
            </w:r>
          </w:p>
        </w:tc>
        <w:tc>
          <w:tcPr>
            <w:tcW w:w="2114"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4.3</w:t>
            </w:r>
          </w:p>
        </w:tc>
        <w:tc>
          <w:tcPr>
            <w:tcW w:w="11530" w:type="dxa"/>
            <w:gridSpan w:val="2"/>
            <w:vAlign w:val="center"/>
          </w:tcPr>
          <w:p>
            <w:pPr>
              <w:pStyle w:val="7"/>
              <w:spacing w:before="45" w:line="216" w:lineRule="auto"/>
              <w:ind w:left="83"/>
              <w:jc w:val="both"/>
              <w:rPr>
                <w:rFonts w:hint="eastAsia" w:ascii="仿宋" w:hAnsi="仿宋" w:eastAsia="仿宋" w:cs="宋体"/>
                <w:b w:val="0"/>
                <w:bCs w:val="0"/>
                <w:snapToGrid w:val="0"/>
                <w:color w:val="000000"/>
                <w:spacing w:val="1"/>
                <w:sz w:val="21"/>
                <w:szCs w:val="21"/>
                <w:lang w:val="en-US" w:eastAsia="zh-CN" w:bidi="ar-SA"/>
              </w:rPr>
            </w:pPr>
            <w:r>
              <w:rPr>
                <w:rFonts w:hint="eastAsia" w:ascii="仿宋" w:hAnsi="仿宋" w:eastAsia="仿宋" w:cs="宋体"/>
                <w:b w:val="0"/>
                <w:bCs w:val="0"/>
                <w:snapToGrid w:val="0"/>
                <w:color w:val="000000"/>
                <w:spacing w:val="1"/>
                <w:sz w:val="21"/>
                <w:szCs w:val="21"/>
                <w:lang w:val="en-US" w:eastAsia="zh-CN" w:bidi="ar-SA"/>
              </w:rPr>
              <w:t>安全风险分析</w:t>
            </w:r>
          </w:p>
        </w:tc>
        <w:tc>
          <w:tcPr>
            <w:tcW w:w="2114"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14" w:type="dxa"/>
            <w:tcBorders>
              <w:bottom w:val="single" w:color="000000" w:sz="4" w:space="0"/>
            </w:tcBorders>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4.3.1</w:t>
            </w:r>
          </w:p>
        </w:tc>
        <w:tc>
          <w:tcPr>
            <w:tcW w:w="3614" w:type="dxa"/>
            <w:tcBorders>
              <w:bottom w:val="single" w:color="000000" w:sz="4" w:space="0"/>
            </w:tcBorders>
          </w:tcPr>
          <w:p>
            <w:pPr>
              <w:pStyle w:val="7"/>
              <w:spacing w:before="90" w:line="228" w:lineRule="auto"/>
              <w:ind w:left="18" w:right="16" w:firstLine="27"/>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对研究选题进行安全风险分析，做好防控和应急准备</w:t>
            </w:r>
          </w:p>
        </w:tc>
        <w:tc>
          <w:tcPr>
            <w:tcW w:w="7916" w:type="dxa"/>
            <w:tcBorders>
              <w:bottom w:val="single" w:color="000000" w:sz="4" w:space="0"/>
            </w:tcBorders>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(35)开展实验前应进行安全风险分析，并通过审核。</w:t>
            </w:r>
          </w:p>
        </w:tc>
        <w:tc>
          <w:tcPr>
            <w:tcW w:w="2114" w:type="dxa"/>
            <w:tcBorders>
              <w:bottom w:val="single" w:color="000000" w:sz="4" w:space="0"/>
            </w:tcBorders>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714" w:type="dxa"/>
            <w:tcBorders>
              <w:top w:val="single" w:color="000000" w:sz="4" w:space="0"/>
            </w:tcBorders>
          </w:tcPr>
          <w:p>
            <w:pPr>
              <w:pStyle w:val="7"/>
              <w:spacing w:before="45" w:line="216" w:lineRule="auto"/>
              <w:ind w:left="83"/>
              <w:jc w:val="both"/>
              <w:rPr>
                <w:rFonts w:hint="eastAsia" w:ascii="仿宋" w:hAnsi="仿宋" w:eastAsia="仿宋"/>
                <w:b/>
                <w:bCs/>
                <w:spacing w:val="1"/>
                <w:sz w:val="21"/>
                <w:szCs w:val="21"/>
                <w:lang w:val="en-US" w:eastAsia="zh-CN"/>
              </w:rPr>
            </w:pPr>
            <w:r>
              <w:rPr>
                <w:rFonts w:hint="eastAsia" w:ascii="仿宋" w:hAnsi="仿宋" w:eastAsia="仿宋"/>
                <w:b/>
                <w:bCs/>
                <w:spacing w:val="1"/>
                <w:sz w:val="21"/>
                <w:szCs w:val="21"/>
                <w:lang w:val="en-US" w:eastAsia="zh-CN"/>
              </w:rPr>
              <w:t>5</w:t>
            </w:r>
          </w:p>
        </w:tc>
        <w:tc>
          <w:tcPr>
            <w:tcW w:w="13644" w:type="dxa"/>
            <w:gridSpan w:val="3"/>
            <w:tcBorders>
              <w:top w:val="single" w:color="000000" w:sz="4" w:space="0"/>
            </w:tcBorders>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安全检查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Pr>
          <w:p>
            <w:pPr>
              <w:pStyle w:val="7"/>
              <w:spacing w:before="45" w:line="216" w:lineRule="auto"/>
              <w:ind w:left="83"/>
              <w:jc w:val="both"/>
              <w:rPr>
                <w:rFonts w:hint="eastAsia" w:ascii="仿宋" w:hAnsi="仿宋" w:eastAsia="仿宋"/>
                <w:b/>
                <w:bCs/>
                <w:spacing w:val="1"/>
                <w:sz w:val="21"/>
                <w:szCs w:val="21"/>
                <w:lang w:val="en-US" w:eastAsia="zh-CN"/>
              </w:rPr>
            </w:pPr>
            <w:r>
              <w:rPr>
                <w:rFonts w:hint="eastAsia" w:ascii="仿宋" w:hAnsi="仿宋" w:eastAsia="仿宋"/>
                <w:b/>
                <w:bCs/>
                <w:spacing w:val="1"/>
                <w:sz w:val="21"/>
                <w:szCs w:val="21"/>
                <w:lang w:val="en-US" w:eastAsia="zh-CN"/>
              </w:rPr>
              <w:t>5.1</w:t>
            </w:r>
          </w:p>
        </w:tc>
        <w:tc>
          <w:tcPr>
            <w:tcW w:w="13644"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危险源辨识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14"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5.1.1</w:t>
            </w:r>
          </w:p>
        </w:tc>
        <w:tc>
          <w:tcPr>
            <w:tcW w:w="3614" w:type="dxa"/>
          </w:tcPr>
          <w:p>
            <w:pPr>
              <w:pStyle w:val="7"/>
              <w:spacing w:before="85" w:line="230" w:lineRule="auto"/>
              <w:ind w:left="17" w:right="8" w:firstLine="32"/>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学校、院系、实验室层面建立危险源分布清单</w:t>
            </w:r>
          </w:p>
        </w:tc>
        <w:tc>
          <w:tcPr>
            <w:tcW w:w="791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(36)清单内容须包括单位、房间、类别、数量、分级分类、责任人等信息。</w:t>
            </w:r>
          </w:p>
        </w:tc>
        <w:tc>
          <w:tcPr>
            <w:tcW w:w="2114"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4"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5.1.2</w:t>
            </w:r>
          </w:p>
        </w:tc>
        <w:tc>
          <w:tcPr>
            <w:tcW w:w="3614" w:type="dxa"/>
          </w:tcPr>
          <w:p>
            <w:pPr>
              <w:pStyle w:val="7"/>
              <w:spacing w:before="68" w:line="228" w:lineRule="auto"/>
              <w:ind w:left="18" w:right="8" w:firstLine="10"/>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涉及危险源的实验场所，须有明确的警示标识</w:t>
            </w:r>
          </w:p>
        </w:tc>
        <w:tc>
          <w:tcPr>
            <w:tcW w:w="791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(37)涉及重要危险源(见第15目)的场所，有显著的警示标识。</w:t>
            </w:r>
          </w:p>
        </w:tc>
        <w:tc>
          <w:tcPr>
            <w:tcW w:w="2114"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5" w:hRule="atLeast"/>
        </w:trPr>
        <w:tc>
          <w:tcPr>
            <w:tcW w:w="714" w:type="dxa"/>
          </w:tcPr>
          <w:p>
            <w:pPr>
              <w:pStyle w:val="7"/>
              <w:spacing w:before="45" w:line="216" w:lineRule="auto"/>
              <w:ind w:left="83"/>
              <w:jc w:val="both"/>
              <w:rPr>
                <w:rFonts w:hint="eastAsia" w:ascii="仿宋" w:hAnsi="仿宋" w:eastAsia="仿宋"/>
                <w:spacing w:val="1"/>
                <w:sz w:val="21"/>
                <w:szCs w:val="21"/>
                <w:lang w:val="en-US" w:eastAsia="zh-CN"/>
              </w:rPr>
            </w:pPr>
          </w:p>
          <w:p>
            <w:pPr>
              <w:pStyle w:val="7"/>
              <w:spacing w:before="45" w:line="216" w:lineRule="auto"/>
              <w:ind w:left="83"/>
              <w:jc w:val="both"/>
              <w:rPr>
                <w:rFonts w:hint="eastAsia" w:ascii="仿宋" w:hAnsi="仿宋" w:eastAsia="仿宋"/>
                <w:spacing w:val="1"/>
                <w:sz w:val="21"/>
                <w:szCs w:val="21"/>
                <w:lang w:val="en-US" w:eastAsia="zh-CN"/>
              </w:rPr>
            </w:pPr>
          </w:p>
          <w:p>
            <w:pPr>
              <w:pStyle w:val="7"/>
              <w:spacing w:before="45" w:line="216" w:lineRule="auto"/>
              <w:ind w:left="83"/>
              <w:jc w:val="both"/>
              <w:rPr>
                <w:rFonts w:hint="eastAsia" w:ascii="仿宋" w:hAnsi="仿宋" w:eastAsia="仿宋"/>
                <w:spacing w:val="1"/>
                <w:sz w:val="21"/>
                <w:szCs w:val="21"/>
                <w:lang w:val="en-US" w:eastAsia="zh-CN"/>
              </w:rPr>
            </w:pPr>
          </w:p>
          <w:p>
            <w:pPr>
              <w:pStyle w:val="7"/>
              <w:spacing w:before="45" w:line="216" w:lineRule="auto"/>
              <w:ind w:left="83"/>
              <w:jc w:val="both"/>
              <w:rPr>
                <w:rFonts w:hint="eastAsia" w:ascii="仿宋" w:hAnsi="仿宋" w:eastAsia="仿宋"/>
                <w:spacing w:val="1"/>
                <w:sz w:val="21"/>
                <w:szCs w:val="21"/>
                <w:lang w:val="en-US" w:eastAsia="zh-CN"/>
              </w:rPr>
            </w:pPr>
          </w:p>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5.1.3</w:t>
            </w:r>
          </w:p>
        </w:tc>
        <w:tc>
          <w:tcPr>
            <w:tcW w:w="3614" w:type="dxa"/>
          </w:tcPr>
          <w:p>
            <w:pPr>
              <w:rPr>
                <w:rFonts w:hint="eastAsia" w:ascii="仿宋" w:hAnsi="仿宋" w:eastAsia="仿宋" w:cs="宋体"/>
                <w:snapToGrid w:val="0"/>
                <w:color w:val="000000"/>
                <w:spacing w:val="1"/>
                <w:sz w:val="21"/>
                <w:szCs w:val="21"/>
                <w:lang w:val="en-US" w:eastAsia="zh-CN" w:bidi="ar-SA"/>
              </w:rPr>
            </w:pPr>
          </w:p>
          <w:p>
            <w:pPr>
              <w:spacing w:line="241" w:lineRule="auto"/>
              <w:rPr>
                <w:rFonts w:hint="eastAsia" w:ascii="仿宋" w:hAnsi="仿宋" w:eastAsia="仿宋" w:cs="宋体"/>
                <w:snapToGrid w:val="0"/>
                <w:color w:val="000000"/>
                <w:spacing w:val="1"/>
                <w:sz w:val="21"/>
                <w:szCs w:val="21"/>
                <w:lang w:val="en-US" w:eastAsia="zh-CN" w:bidi="ar-SA"/>
              </w:rPr>
            </w:pPr>
          </w:p>
          <w:p>
            <w:pPr>
              <w:spacing w:line="241" w:lineRule="auto"/>
              <w:rPr>
                <w:rFonts w:hint="eastAsia" w:ascii="仿宋" w:hAnsi="仿宋" w:eastAsia="仿宋" w:cs="宋体"/>
                <w:snapToGrid w:val="0"/>
                <w:color w:val="000000"/>
                <w:spacing w:val="1"/>
                <w:sz w:val="21"/>
                <w:szCs w:val="21"/>
                <w:lang w:val="en-US" w:eastAsia="zh-CN" w:bidi="ar-SA"/>
              </w:rPr>
            </w:pPr>
          </w:p>
          <w:p>
            <w:pPr>
              <w:spacing w:line="241" w:lineRule="auto"/>
              <w:rPr>
                <w:rFonts w:hint="eastAsia" w:ascii="仿宋" w:hAnsi="仿宋" w:eastAsia="仿宋" w:cs="宋体"/>
                <w:snapToGrid w:val="0"/>
                <w:color w:val="000000"/>
                <w:spacing w:val="1"/>
                <w:sz w:val="21"/>
                <w:szCs w:val="21"/>
                <w:lang w:val="en-US" w:eastAsia="zh-CN" w:bidi="ar-SA"/>
              </w:rPr>
            </w:pPr>
          </w:p>
          <w:p>
            <w:pPr>
              <w:pStyle w:val="7"/>
              <w:spacing w:before="58" w:line="232" w:lineRule="auto"/>
              <w:ind w:left="19" w:right="114" w:firstLine="29"/>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建立针对重要危险源的风险管理和应急预案</w:t>
            </w:r>
          </w:p>
        </w:tc>
        <w:tc>
          <w:tcPr>
            <w:tcW w:w="791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(38)建立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(39)院系和实验室应建立针对重要危险源的应急预案。</w:t>
            </w:r>
          </w:p>
        </w:tc>
        <w:tc>
          <w:tcPr>
            <w:tcW w:w="2114"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14" w:type="dxa"/>
          </w:tcPr>
          <w:p>
            <w:pPr>
              <w:pStyle w:val="7"/>
              <w:spacing w:before="45" w:line="216" w:lineRule="auto"/>
              <w:ind w:left="83"/>
              <w:jc w:val="both"/>
              <w:rPr>
                <w:rFonts w:hint="eastAsia" w:ascii="仿宋" w:hAnsi="仿宋" w:eastAsia="仿宋"/>
                <w:b/>
                <w:bCs/>
                <w:spacing w:val="1"/>
                <w:sz w:val="21"/>
                <w:szCs w:val="21"/>
                <w:lang w:val="en-US" w:eastAsia="zh-CN"/>
              </w:rPr>
            </w:pPr>
            <w:r>
              <w:rPr>
                <w:rFonts w:hint="eastAsia" w:ascii="仿宋" w:hAnsi="仿宋" w:eastAsia="仿宋"/>
                <w:b/>
                <w:bCs/>
                <w:spacing w:val="1"/>
                <w:sz w:val="21"/>
                <w:szCs w:val="21"/>
                <w:lang w:val="en-US" w:eastAsia="zh-CN"/>
              </w:rPr>
              <w:t>5.2</w:t>
            </w:r>
          </w:p>
        </w:tc>
        <w:tc>
          <w:tcPr>
            <w:tcW w:w="13644"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安全检查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14" w:type="dxa"/>
            <w:vAlign w:val="top"/>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5.2.1</w:t>
            </w:r>
          </w:p>
        </w:tc>
        <w:tc>
          <w:tcPr>
            <w:tcW w:w="3614"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学校、院系层面安全检查及实验室自检自查</w:t>
            </w:r>
          </w:p>
        </w:tc>
        <w:tc>
          <w:tcPr>
            <w:tcW w:w="791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(40)学校层面检查每年不少于4次，院系层面每月不少于1次，实验室应经常检查。安全检查及整改都应保存记录。</w:t>
            </w:r>
          </w:p>
        </w:tc>
        <w:tc>
          <w:tcPr>
            <w:tcW w:w="2114"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14" w:type="dxa"/>
            <w:vAlign w:val="top"/>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5.2.2</w:t>
            </w:r>
          </w:p>
        </w:tc>
        <w:tc>
          <w:tcPr>
            <w:tcW w:w="3614"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针对高危实验物品及实验过程开展专项检查</w:t>
            </w:r>
          </w:p>
        </w:tc>
        <w:tc>
          <w:tcPr>
            <w:tcW w:w="791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(41)针对重要险源(见第15目),开展定期专项检查。</w:t>
            </w:r>
          </w:p>
        </w:tc>
        <w:tc>
          <w:tcPr>
            <w:tcW w:w="2114"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714" w:type="dxa"/>
            <w:vAlign w:val="top"/>
          </w:tcPr>
          <w:p>
            <w:pPr>
              <w:pStyle w:val="7"/>
              <w:spacing w:before="45" w:line="216" w:lineRule="auto"/>
              <w:ind w:left="83"/>
              <w:jc w:val="both"/>
              <w:rPr>
                <w:rFonts w:hint="eastAsia" w:ascii="仿宋" w:hAnsi="仿宋" w:eastAsia="仿宋"/>
                <w:spacing w:val="1"/>
                <w:sz w:val="21"/>
                <w:szCs w:val="21"/>
                <w:lang w:val="en-US" w:eastAsia="zh-CN"/>
              </w:rPr>
            </w:pPr>
          </w:p>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5.2.3</w:t>
            </w:r>
          </w:p>
        </w:tc>
        <w:tc>
          <w:tcPr>
            <w:tcW w:w="3614" w:type="dxa"/>
            <w:vAlign w:val="center"/>
          </w:tcPr>
          <w:p>
            <w:pPr>
              <w:pStyle w:val="7"/>
              <w:spacing w:before="45" w:line="216" w:lineRule="auto"/>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安全检查人员应配备专业的防护和计量用具</w:t>
            </w:r>
          </w:p>
        </w:tc>
        <w:tc>
          <w:tcPr>
            <w:tcW w:w="791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(42)安全检查人员要佩戴标识、配备照相器具。进入涉及危化品、生物、辐射等的实验室要穿戴必要的防护装具；检查辐射场所要佩戴个人辐射剂量计；配备必要的测量、计量用具(手持式VOC检测仪、声级计、风速仪、电笔、万用表等)。</w:t>
            </w:r>
          </w:p>
        </w:tc>
        <w:tc>
          <w:tcPr>
            <w:tcW w:w="2114" w:type="dxa"/>
          </w:tcPr>
          <w:p>
            <w:pPr>
              <w:rPr>
                <w:rFonts w:hint="eastAsia" w:ascii="仿宋" w:hAnsi="仿宋" w:eastAsia="仿宋" w:cs="宋体"/>
                <w:snapToGrid w:val="0"/>
                <w:color w:val="000000"/>
                <w:spacing w:val="1"/>
                <w:sz w:val="21"/>
                <w:szCs w:val="21"/>
                <w:lang w:val="en-US" w:eastAsia="zh-CN" w:bidi="ar-SA"/>
              </w:rPr>
            </w:pPr>
          </w:p>
        </w:tc>
      </w:tr>
    </w:tbl>
    <w:p>
      <w:pPr>
        <w:spacing w:line="157" w:lineRule="exact"/>
        <w:rPr>
          <w:rFonts w:hint="eastAsia" w:ascii="仿宋" w:hAnsi="仿宋" w:eastAsia="仿宋" w:cs="宋体"/>
          <w:snapToGrid w:val="0"/>
          <w:color w:val="000000"/>
          <w:spacing w:val="1"/>
          <w:sz w:val="21"/>
          <w:szCs w:val="21"/>
          <w:lang w:val="en-US" w:eastAsia="zh-CN" w:bidi="ar-SA"/>
        </w:rPr>
        <w:sectPr>
          <w:footerReference r:id="rId6" w:type="default"/>
          <w:pgSz w:w="16841" w:h="11912"/>
          <w:pgMar w:top="1012" w:right="1841" w:bottom="1539" w:left="1860" w:header="0" w:footer="1415" w:gutter="0"/>
          <w:cols w:space="720" w:num="1"/>
        </w:sectPr>
      </w:pPr>
    </w:p>
    <w:tbl>
      <w:tblPr>
        <w:tblStyle w:val="6"/>
        <w:tblpPr w:leftFromText="180" w:rightFromText="180" w:vertAnchor="text" w:horzAnchor="page" w:tblpX="1169" w:tblpY="48"/>
        <w:tblOverlap w:val="never"/>
        <w:tblW w:w="14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3620"/>
        <w:gridCol w:w="7915"/>
        <w:gridCol w:w="2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705"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620"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915"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00"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05" w:type="dxa"/>
          </w:tcPr>
          <w:p>
            <w:pPr>
              <w:pStyle w:val="7"/>
              <w:spacing w:before="80" w:line="180" w:lineRule="auto"/>
              <w:ind w:left="34"/>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5.3</w:t>
            </w:r>
          </w:p>
        </w:tc>
        <w:tc>
          <w:tcPr>
            <w:tcW w:w="13635" w:type="dxa"/>
            <w:gridSpan w:val="3"/>
          </w:tcPr>
          <w:p>
            <w:pPr>
              <w:pStyle w:val="7"/>
              <w:spacing w:before="36" w:line="225" w:lineRule="auto"/>
              <w:ind w:left="44"/>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安全隐患整改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05" w:type="dxa"/>
          </w:tcPr>
          <w:p>
            <w:pPr>
              <w:pStyle w:val="7"/>
              <w:spacing w:before="237" w:line="189" w:lineRule="auto"/>
              <w:ind w:left="32"/>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5.3.1</w:t>
            </w:r>
          </w:p>
        </w:tc>
        <w:tc>
          <w:tcPr>
            <w:tcW w:w="3620"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检查中发现的问题应以正式形式通知到相关负责人</w:t>
            </w:r>
          </w:p>
        </w:tc>
        <w:tc>
          <w:tcPr>
            <w:tcW w:w="7915"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(43)通知的方式包括校网上公告、实验室安全简报、书面或电子的整改通知书等形式。</w:t>
            </w:r>
          </w:p>
        </w:tc>
        <w:tc>
          <w:tcPr>
            <w:tcW w:w="2100"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05" w:type="dxa"/>
          </w:tcPr>
          <w:p>
            <w:pPr>
              <w:spacing w:line="301" w:lineRule="auto"/>
              <w:rPr>
                <w:rFonts w:hint="eastAsia" w:ascii="仿宋" w:hAnsi="仿宋" w:eastAsia="仿宋" w:cs="宋体"/>
                <w:snapToGrid w:val="0"/>
                <w:color w:val="000000"/>
                <w:spacing w:val="1"/>
                <w:sz w:val="21"/>
                <w:szCs w:val="21"/>
                <w:lang w:val="en-US" w:eastAsia="zh-CN" w:bidi="ar-SA"/>
              </w:rPr>
            </w:pPr>
          </w:p>
          <w:p>
            <w:pPr>
              <w:pStyle w:val="7"/>
              <w:spacing w:before="58" w:line="188" w:lineRule="auto"/>
              <w:ind w:left="32"/>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5.3.2</w:t>
            </w:r>
          </w:p>
        </w:tc>
        <w:tc>
          <w:tcPr>
            <w:tcW w:w="3620" w:type="dxa"/>
          </w:tcPr>
          <w:p>
            <w:pPr>
              <w:spacing w:line="248" w:lineRule="auto"/>
              <w:rPr>
                <w:rFonts w:hint="eastAsia" w:ascii="仿宋" w:hAnsi="仿宋" w:eastAsia="仿宋" w:cs="宋体"/>
                <w:snapToGrid w:val="0"/>
                <w:color w:val="000000"/>
                <w:spacing w:val="1"/>
                <w:sz w:val="21"/>
                <w:szCs w:val="21"/>
                <w:lang w:val="en-US" w:eastAsia="zh-CN" w:bidi="ar-SA"/>
              </w:rPr>
            </w:pPr>
          </w:p>
          <w:p>
            <w:pPr>
              <w:pStyle w:val="7"/>
              <w:spacing w:before="59" w:line="229" w:lineRule="auto"/>
              <w:ind w:left="60"/>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院系须及时组织隐患整改</w:t>
            </w:r>
          </w:p>
        </w:tc>
        <w:tc>
          <w:tcPr>
            <w:tcW w:w="7915" w:type="dxa"/>
          </w:tcPr>
          <w:p>
            <w:pPr>
              <w:pStyle w:val="7"/>
              <w:spacing w:before="45" w:line="216" w:lineRule="auto"/>
              <w:ind w:left="83"/>
              <w:jc w:val="both"/>
              <w:rPr>
                <w:rFonts w:hint="eastAsia" w:ascii="仿宋" w:hAnsi="仿宋" w:eastAsia="仿宋"/>
                <w:spacing w:val="1"/>
                <w:sz w:val="21"/>
                <w:szCs w:val="21"/>
                <w:lang w:val="en-US" w:eastAsia="zh-CN"/>
              </w:rPr>
            </w:pPr>
            <w:r>
              <w:rPr>
                <w:rFonts w:hint="eastAsia" w:ascii="仿宋" w:hAnsi="仿宋" w:eastAsia="仿宋" w:cs="宋体"/>
                <w:snapToGrid w:val="0"/>
                <w:color w:val="000000"/>
                <w:spacing w:val="1"/>
                <w:sz w:val="21"/>
                <w:szCs w:val="21"/>
                <w:lang w:val="en-US" w:eastAsia="zh-CN" w:bidi="ar-SA"/>
              </w:rPr>
              <w:t>(</w:t>
            </w:r>
            <w:r>
              <w:rPr>
                <w:rFonts w:hint="eastAsia" w:ascii="仿宋" w:hAnsi="仿宋" w:eastAsia="仿宋"/>
                <w:spacing w:val="1"/>
                <w:sz w:val="21"/>
                <w:szCs w:val="21"/>
                <w:lang w:val="en-US" w:eastAsia="zh-CN"/>
              </w:rPr>
              <w:t>44)整改报告应在规定时间内提交学校管理部门。</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spacing w:val="1"/>
                <w:sz w:val="21"/>
                <w:szCs w:val="21"/>
                <w:lang w:val="en-US" w:eastAsia="zh-CN"/>
              </w:rPr>
              <w:t>(45)如存在重大隐患，实验室应立即停止实验活动，整改完成或采取相应防护措施后方能恢复实验。</w:t>
            </w:r>
          </w:p>
        </w:tc>
        <w:tc>
          <w:tcPr>
            <w:tcW w:w="2100"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05" w:type="dxa"/>
          </w:tcPr>
          <w:p>
            <w:pPr>
              <w:pStyle w:val="7"/>
              <w:spacing w:before="90" w:line="180" w:lineRule="auto"/>
              <w:ind w:left="34"/>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5.4</w:t>
            </w:r>
          </w:p>
        </w:tc>
        <w:tc>
          <w:tcPr>
            <w:tcW w:w="13635" w:type="dxa"/>
            <w:gridSpan w:val="3"/>
          </w:tcPr>
          <w:p>
            <w:pPr>
              <w:pStyle w:val="7"/>
              <w:spacing w:before="44" w:line="227" w:lineRule="auto"/>
              <w:ind w:left="44"/>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安全报告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05" w:type="dxa"/>
          </w:tcPr>
          <w:p>
            <w:pPr>
              <w:pStyle w:val="7"/>
              <w:spacing w:before="231" w:line="189" w:lineRule="auto"/>
              <w:ind w:left="32"/>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5.4.1</w:t>
            </w:r>
          </w:p>
        </w:tc>
        <w:tc>
          <w:tcPr>
            <w:tcW w:w="3620" w:type="dxa"/>
          </w:tcPr>
          <w:p>
            <w:pPr>
              <w:pStyle w:val="7"/>
              <w:spacing w:before="64" w:line="230" w:lineRule="auto"/>
              <w:ind w:left="51" w:right="11" w:hanging="9"/>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学校有定期/不定期的安全检查通报；院系有安全检查及整改记录</w:t>
            </w:r>
          </w:p>
        </w:tc>
        <w:tc>
          <w:tcPr>
            <w:tcW w:w="7915" w:type="dxa"/>
          </w:tcPr>
          <w:p>
            <w:pPr>
              <w:pStyle w:val="7"/>
              <w:spacing w:before="182" w:line="229" w:lineRule="auto"/>
              <w:ind w:left="97"/>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(46)存有相关资料或电子文档。</w:t>
            </w:r>
          </w:p>
        </w:tc>
        <w:tc>
          <w:tcPr>
            <w:tcW w:w="2100"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05" w:type="dxa"/>
          </w:tcPr>
          <w:p>
            <w:pPr>
              <w:pStyle w:val="7"/>
              <w:spacing w:before="103" w:line="144" w:lineRule="exact"/>
              <w:ind w:left="30"/>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6</w:t>
            </w:r>
          </w:p>
        </w:tc>
        <w:tc>
          <w:tcPr>
            <w:tcW w:w="13635" w:type="dxa"/>
            <w:gridSpan w:val="3"/>
          </w:tcPr>
          <w:p>
            <w:pPr>
              <w:pStyle w:val="7"/>
              <w:spacing w:before="30" w:line="222" w:lineRule="auto"/>
              <w:ind w:left="45"/>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实验场所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05" w:type="dxa"/>
          </w:tcPr>
          <w:p>
            <w:pPr>
              <w:pStyle w:val="7"/>
              <w:spacing w:before="99" w:line="180" w:lineRule="auto"/>
              <w:ind w:left="32"/>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6.1</w:t>
            </w:r>
          </w:p>
        </w:tc>
        <w:tc>
          <w:tcPr>
            <w:tcW w:w="13635" w:type="dxa"/>
            <w:gridSpan w:val="3"/>
          </w:tcPr>
          <w:p>
            <w:pPr>
              <w:pStyle w:val="7"/>
              <w:spacing w:before="53" w:line="227" w:lineRule="auto"/>
              <w:ind w:left="40"/>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场所环境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05" w:type="dxa"/>
          </w:tcPr>
          <w:p>
            <w:pPr>
              <w:spacing w:line="301" w:lineRule="auto"/>
              <w:rPr>
                <w:rFonts w:hint="eastAsia" w:ascii="仿宋" w:hAnsi="仿宋" w:eastAsia="仿宋" w:cs="宋体"/>
                <w:snapToGrid w:val="0"/>
                <w:color w:val="000000"/>
                <w:spacing w:val="1"/>
                <w:sz w:val="21"/>
                <w:szCs w:val="21"/>
                <w:lang w:val="en-US" w:eastAsia="zh-CN" w:bidi="ar-SA"/>
              </w:rPr>
            </w:pPr>
          </w:p>
          <w:p>
            <w:pPr>
              <w:pStyle w:val="7"/>
              <w:spacing w:before="58" w:line="189" w:lineRule="auto"/>
              <w:ind w:left="30"/>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6.1.1</w:t>
            </w:r>
          </w:p>
        </w:tc>
        <w:tc>
          <w:tcPr>
            <w:tcW w:w="3620" w:type="dxa"/>
          </w:tcPr>
          <w:p>
            <w:pPr>
              <w:spacing w:line="251" w:lineRule="auto"/>
              <w:rPr>
                <w:rFonts w:hint="eastAsia" w:ascii="仿宋" w:hAnsi="仿宋" w:eastAsia="仿宋" w:cs="宋体"/>
                <w:snapToGrid w:val="0"/>
                <w:color w:val="000000"/>
                <w:spacing w:val="1"/>
                <w:sz w:val="21"/>
                <w:szCs w:val="21"/>
                <w:lang w:val="en-US" w:eastAsia="zh-CN" w:bidi="ar-SA"/>
              </w:rPr>
            </w:pPr>
          </w:p>
          <w:p>
            <w:pPr>
              <w:pStyle w:val="7"/>
              <w:spacing w:before="59" w:line="229" w:lineRule="auto"/>
              <w:ind w:left="52"/>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实验场所应张贴安全信息牌</w:t>
            </w:r>
          </w:p>
        </w:tc>
        <w:tc>
          <w:tcPr>
            <w:tcW w:w="79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(47)每个房间门口挂有安全信息牌，信息包括：实验室分级分类结果、安全风险点的警示标识、安全责任人、涉及危险类别、防护措施和有效的应急联系电话等，并及时更新。</w:t>
            </w:r>
          </w:p>
        </w:tc>
        <w:tc>
          <w:tcPr>
            <w:tcW w:w="2100"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05" w:type="dxa"/>
          </w:tcPr>
          <w:p>
            <w:pPr>
              <w:spacing w:line="286" w:lineRule="auto"/>
              <w:rPr>
                <w:rFonts w:hint="eastAsia" w:ascii="仿宋" w:hAnsi="仿宋" w:eastAsia="仿宋" w:cs="宋体"/>
                <w:snapToGrid w:val="0"/>
                <w:color w:val="000000"/>
                <w:spacing w:val="1"/>
                <w:sz w:val="21"/>
                <w:szCs w:val="21"/>
                <w:lang w:val="en-US" w:eastAsia="zh-CN" w:bidi="ar-SA"/>
              </w:rPr>
            </w:pPr>
          </w:p>
          <w:p>
            <w:pPr>
              <w:spacing w:line="287" w:lineRule="auto"/>
              <w:rPr>
                <w:rFonts w:hint="eastAsia" w:ascii="仿宋" w:hAnsi="仿宋" w:eastAsia="仿宋" w:cs="宋体"/>
                <w:snapToGrid w:val="0"/>
                <w:color w:val="000000"/>
                <w:spacing w:val="1"/>
                <w:sz w:val="21"/>
                <w:szCs w:val="21"/>
                <w:lang w:val="en-US" w:eastAsia="zh-CN" w:bidi="ar-SA"/>
              </w:rPr>
            </w:pPr>
          </w:p>
          <w:p>
            <w:pPr>
              <w:pStyle w:val="7"/>
              <w:spacing w:before="58" w:line="189" w:lineRule="auto"/>
              <w:ind w:left="30"/>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6.1.2</w:t>
            </w:r>
          </w:p>
        </w:tc>
        <w:tc>
          <w:tcPr>
            <w:tcW w:w="3620" w:type="dxa"/>
          </w:tcPr>
          <w:p>
            <w:pPr>
              <w:spacing w:line="260" w:lineRule="auto"/>
              <w:rPr>
                <w:rFonts w:hint="eastAsia" w:ascii="仿宋" w:hAnsi="仿宋" w:eastAsia="仿宋" w:cs="宋体"/>
                <w:snapToGrid w:val="0"/>
                <w:color w:val="000000"/>
                <w:spacing w:val="1"/>
                <w:sz w:val="21"/>
                <w:szCs w:val="21"/>
                <w:lang w:val="en-US" w:eastAsia="zh-CN" w:bidi="ar-SA"/>
              </w:rPr>
            </w:pPr>
          </w:p>
          <w:p>
            <w:pPr>
              <w:spacing w:line="260" w:lineRule="auto"/>
              <w:rPr>
                <w:rFonts w:hint="eastAsia" w:ascii="仿宋" w:hAnsi="仿宋" w:eastAsia="仿宋" w:cs="宋体"/>
                <w:snapToGrid w:val="0"/>
                <w:color w:val="000000"/>
                <w:spacing w:val="1"/>
                <w:sz w:val="21"/>
                <w:szCs w:val="21"/>
                <w:lang w:val="en-US" w:eastAsia="zh-CN" w:bidi="ar-SA"/>
              </w:rPr>
            </w:pPr>
          </w:p>
          <w:p>
            <w:pPr>
              <w:pStyle w:val="7"/>
              <w:spacing w:before="59" w:line="229" w:lineRule="auto"/>
              <w:ind w:left="52"/>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实验场所应具备合理的安全空间布局</w:t>
            </w:r>
          </w:p>
        </w:tc>
        <w:tc>
          <w:tcPr>
            <w:tcW w:w="79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(48)超过200m²的实验楼层具有至少两处安全出口，75m² 以上实验室要有两个出入口。</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(49)实验楼大走廊保证留有大于1.5m净宽的消防通道。</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(50)实验室操作区层高不低于2m。</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(51)理工农医类实验室内多人同时进行实验时，人均操作面积不小于2.5m²。</w:t>
            </w:r>
          </w:p>
        </w:tc>
        <w:tc>
          <w:tcPr>
            <w:tcW w:w="2100"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05" w:type="dxa"/>
          </w:tcPr>
          <w:p>
            <w:pPr>
              <w:pStyle w:val="7"/>
              <w:spacing w:before="235" w:line="189" w:lineRule="auto"/>
              <w:ind w:left="30"/>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6.1.3</w:t>
            </w:r>
          </w:p>
        </w:tc>
        <w:tc>
          <w:tcPr>
            <w:tcW w:w="3620" w:type="dxa"/>
          </w:tcPr>
          <w:p>
            <w:pPr>
              <w:pStyle w:val="7"/>
              <w:spacing w:before="85" w:line="224" w:lineRule="auto"/>
              <w:ind w:left="48" w:right="3" w:hanging="5"/>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实验室消防通道通畅，公共场所不堆放仪器和物品</w:t>
            </w:r>
          </w:p>
        </w:tc>
        <w:tc>
          <w:tcPr>
            <w:tcW w:w="791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(52)保持消防通道通畅。</w:t>
            </w:r>
          </w:p>
        </w:tc>
        <w:tc>
          <w:tcPr>
            <w:tcW w:w="2100"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705" w:type="dxa"/>
          </w:tcPr>
          <w:p>
            <w:pPr>
              <w:spacing w:line="283" w:lineRule="auto"/>
              <w:rPr>
                <w:rFonts w:hint="eastAsia" w:ascii="仿宋" w:hAnsi="仿宋" w:eastAsia="仿宋" w:cs="宋体"/>
                <w:snapToGrid w:val="0"/>
                <w:color w:val="000000"/>
                <w:spacing w:val="1"/>
                <w:sz w:val="21"/>
                <w:szCs w:val="21"/>
                <w:lang w:val="en-US" w:eastAsia="zh-CN" w:bidi="ar-SA"/>
              </w:rPr>
            </w:pPr>
          </w:p>
          <w:p>
            <w:pPr>
              <w:spacing w:line="284" w:lineRule="auto"/>
              <w:rPr>
                <w:rFonts w:hint="eastAsia" w:ascii="仿宋" w:hAnsi="仿宋" w:eastAsia="仿宋" w:cs="宋体"/>
                <w:snapToGrid w:val="0"/>
                <w:color w:val="000000"/>
                <w:spacing w:val="1"/>
                <w:sz w:val="21"/>
                <w:szCs w:val="21"/>
                <w:lang w:val="en-US" w:eastAsia="zh-CN" w:bidi="ar-SA"/>
              </w:rPr>
            </w:pPr>
          </w:p>
          <w:p>
            <w:pPr>
              <w:pStyle w:val="7"/>
              <w:spacing w:before="59" w:line="189" w:lineRule="auto"/>
              <w:ind w:left="30"/>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6.1.4</w:t>
            </w:r>
          </w:p>
        </w:tc>
        <w:tc>
          <w:tcPr>
            <w:tcW w:w="3620" w:type="dxa"/>
          </w:tcPr>
          <w:p>
            <w:pPr>
              <w:spacing w:line="259" w:lineRule="auto"/>
              <w:rPr>
                <w:rFonts w:hint="eastAsia" w:ascii="仿宋" w:hAnsi="仿宋" w:eastAsia="仿宋" w:cs="宋体"/>
                <w:snapToGrid w:val="0"/>
                <w:color w:val="000000"/>
                <w:spacing w:val="1"/>
                <w:sz w:val="21"/>
                <w:szCs w:val="21"/>
                <w:lang w:val="en-US" w:eastAsia="zh-CN" w:bidi="ar-SA"/>
              </w:rPr>
            </w:pPr>
          </w:p>
          <w:p>
            <w:pPr>
              <w:spacing w:line="259" w:lineRule="auto"/>
              <w:rPr>
                <w:rFonts w:hint="eastAsia" w:ascii="仿宋" w:hAnsi="仿宋" w:eastAsia="仿宋" w:cs="宋体"/>
                <w:snapToGrid w:val="0"/>
                <w:color w:val="000000"/>
                <w:spacing w:val="1"/>
                <w:sz w:val="21"/>
                <w:szCs w:val="21"/>
                <w:lang w:val="en-US" w:eastAsia="zh-CN" w:bidi="ar-SA"/>
              </w:rPr>
            </w:pPr>
          </w:p>
          <w:p>
            <w:pPr>
              <w:pStyle w:val="7"/>
              <w:spacing w:before="58" w:line="229" w:lineRule="auto"/>
              <w:ind w:left="52"/>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实验室建设和装修应符合消防安全要求</w:t>
            </w:r>
          </w:p>
        </w:tc>
        <w:tc>
          <w:tcPr>
            <w:tcW w:w="79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(53)实验操作台应选用合格的防火、耐腐蚀材料。</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(54)仪器设备安装符合建筑物承重荷载要求。</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(55)有可燃气体的实验室不设吊顶。</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(56)不用的配电箱、插座、水管水龙头、网线、气体管路等，应及时拆除或封闭。</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(57)实验室门上有观察窗，外开门不阻挡逃生路径。</w:t>
            </w:r>
          </w:p>
        </w:tc>
        <w:tc>
          <w:tcPr>
            <w:tcW w:w="2100"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05" w:type="dxa"/>
          </w:tcPr>
          <w:p>
            <w:pPr>
              <w:pStyle w:val="7"/>
              <w:spacing w:before="105" w:line="174" w:lineRule="auto"/>
              <w:ind w:left="30"/>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6.1.5</w:t>
            </w:r>
          </w:p>
        </w:tc>
        <w:tc>
          <w:tcPr>
            <w:tcW w:w="3620" w:type="dxa"/>
          </w:tcPr>
          <w:p>
            <w:pPr>
              <w:pStyle w:val="7"/>
              <w:spacing w:before="59" w:line="221" w:lineRule="auto"/>
              <w:ind w:left="52"/>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实验室所有房间均须配有应急备用钥匙</w:t>
            </w:r>
          </w:p>
        </w:tc>
        <w:tc>
          <w:tcPr>
            <w:tcW w:w="7915" w:type="dxa"/>
            <w:vAlign w:val="center"/>
          </w:tcPr>
          <w:p>
            <w:pPr>
              <w:pStyle w:val="7"/>
              <w:spacing w:before="59" w:line="221" w:lineRule="auto"/>
              <w:ind w:left="97"/>
              <w:jc w:val="left"/>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(58)应急备用钥匙须集中存放、统一管理，应急时方便取用。</w:t>
            </w:r>
          </w:p>
        </w:tc>
        <w:tc>
          <w:tcPr>
            <w:tcW w:w="2100" w:type="dxa"/>
          </w:tcPr>
          <w:p>
            <w:pPr>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05" w:type="dxa"/>
          </w:tcPr>
          <w:p>
            <w:pPr>
              <w:spacing w:line="311" w:lineRule="auto"/>
              <w:rPr>
                <w:rFonts w:hint="eastAsia" w:ascii="仿宋" w:hAnsi="仿宋" w:eastAsia="仿宋" w:cs="宋体"/>
                <w:snapToGrid w:val="0"/>
                <w:color w:val="000000"/>
                <w:spacing w:val="1"/>
                <w:sz w:val="21"/>
                <w:szCs w:val="21"/>
                <w:lang w:val="en-US" w:eastAsia="zh-CN" w:bidi="ar-SA"/>
              </w:rPr>
            </w:pPr>
          </w:p>
          <w:p>
            <w:pPr>
              <w:pStyle w:val="7"/>
              <w:spacing w:before="59" w:line="189" w:lineRule="auto"/>
              <w:ind w:left="30"/>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6.1.6</w:t>
            </w:r>
          </w:p>
        </w:tc>
        <w:tc>
          <w:tcPr>
            <w:tcW w:w="3620" w:type="dxa"/>
          </w:tcPr>
          <w:p>
            <w:pPr>
              <w:pStyle w:val="7"/>
              <w:spacing w:before="245" w:line="241" w:lineRule="auto"/>
              <w:ind w:left="56" w:right="3" w:hanging="13"/>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实验设备须做好振动减振、电磁屏蔽和降噪</w:t>
            </w:r>
          </w:p>
        </w:tc>
        <w:tc>
          <w:tcPr>
            <w:tcW w:w="7915" w:type="dxa"/>
          </w:tcPr>
          <w:p>
            <w:pPr>
              <w:pStyle w:val="7"/>
              <w:spacing w:before="89" w:line="229" w:lineRule="auto"/>
              <w:ind w:left="97"/>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(59)容易产生振动的设备，须考虑采取合理的减振措施。</w:t>
            </w:r>
          </w:p>
          <w:p>
            <w:pPr>
              <w:pStyle w:val="7"/>
              <w:spacing w:before="60" w:line="202" w:lineRule="auto"/>
              <w:ind w:left="97"/>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(60)易对外产生磁场或易受磁场干扰的设备，须做好磁屏蔽。</w:t>
            </w:r>
          </w:p>
          <w:p>
            <w:pPr>
              <w:pStyle w:val="7"/>
              <w:spacing w:line="220" w:lineRule="auto"/>
              <w:ind w:left="97"/>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(61)实验室噪声一般不高于55分贝(机械设备不高于70分贝)。</w:t>
            </w:r>
          </w:p>
        </w:tc>
        <w:tc>
          <w:tcPr>
            <w:tcW w:w="2100" w:type="dxa"/>
          </w:tcPr>
          <w:p>
            <w:pPr>
              <w:rPr>
                <w:rFonts w:hint="eastAsia" w:ascii="仿宋" w:hAnsi="仿宋" w:eastAsia="仿宋" w:cs="宋体"/>
                <w:snapToGrid w:val="0"/>
                <w:color w:val="000000"/>
                <w:spacing w:val="1"/>
                <w:sz w:val="21"/>
                <w:szCs w:val="21"/>
                <w:lang w:val="en-US" w:eastAsia="zh-CN" w:bidi="ar-SA"/>
              </w:rPr>
            </w:pPr>
          </w:p>
        </w:tc>
      </w:tr>
    </w:tbl>
    <w:p>
      <w:pPr>
        <w:spacing w:line="161" w:lineRule="exact"/>
        <w:rPr>
          <w:sz w:val="14"/>
          <w:szCs w:val="14"/>
          <w:lang w:eastAsia="zh-CN"/>
        </w:rPr>
        <w:sectPr>
          <w:footerReference r:id="rId7" w:type="default"/>
          <w:pgSz w:w="16841" w:h="11912"/>
          <w:pgMar w:top="1012" w:right="1910" w:bottom="1583" w:left="1848" w:header="0" w:footer="1450" w:gutter="0"/>
          <w:cols w:space="720" w:num="1"/>
        </w:sectPr>
      </w:pPr>
    </w:p>
    <w:tbl>
      <w:tblPr>
        <w:tblStyle w:val="6"/>
        <w:tblpPr w:leftFromText="180" w:rightFromText="180" w:vertAnchor="text" w:horzAnchor="page" w:tblpX="1214" w:tblpY="-3"/>
        <w:tblOverlap w:val="never"/>
        <w:tblW w:w="142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3582"/>
        <w:gridCol w:w="7869"/>
        <w:gridCol w:w="21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704" w:type="dxa"/>
            <w:vAlign w:val="top"/>
          </w:tcPr>
          <w:p>
            <w:pPr>
              <w:pStyle w:val="7"/>
              <w:spacing w:before="36" w:line="223" w:lineRule="auto"/>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3"/>
                <w:sz w:val="21"/>
                <w:szCs w:val="21"/>
              </w:rPr>
              <w:t>序号</w:t>
            </w:r>
          </w:p>
        </w:tc>
        <w:tc>
          <w:tcPr>
            <w:tcW w:w="3582"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10"/>
                <w:sz w:val="21"/>
                <w:szCs w:val="21"/>
              </w:rPr>
              <w:t>检查项目</w:t>
            </w:r>
          </w:p>
        </w:tc>
        <w:tc>
          <w:tcPr>
            <w:tcW w:w="7869"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4"/>
                <w:sz w:val="21"/>
                <w:szCs w:val="21"/>
              </w:rPr>
              <w:t>检查要点</w:t>
            </w:r>
          </w:p>
        </w:tc>
        <w:tc>
          <w:tcPr>
            <w:tcW w:w="2143"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en-US"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6.1.7</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实验室水、电、气管线布局合理，安装施工规范</w:t>
            </w:r>
          </w:p>
        </w:tc>
        <w:tc>
          <w:tcPr>
            <w:tcW w:w="78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(62)采用管道供气的实验室，输气管道及阀门无漏气现象，并有明确标识。供气管道有名称和气体流向标识，无破损。</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(63)高温、明火设备放置位置与气体管道有安全间隔距离。</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(64)实验室改造工程应经过审批后实施。</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4"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6.2</w:t>
            </w:r>
          </w:p>
        </w:tc>
        <w:tc>
          <w:tcPr>
            <w:tcW w:w="13594"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卫生与日常管理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6.2.1</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实验室分区应相对独立，布局合理</w:t>
            </w:r>
          </w:p>
        </w:tc>
        <w:tc>
          <w:tcPr>
            <w:tcW w:w="78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(65)有毒有害实验区与学习区明确分开，合理布局，重点关注化学、生物、辐射、 激光等类别实验室。如部分区域分区不明显，现场查看有毒有害物质的管理须对工 作环境无健康危害。</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6.2.2</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实验室环境应整洁卫生有序</w:t>
            </w:r>
          </w:p>
        </w:tc>
        <w:tc>
          <w:tcPr>
            <w:tcW w:w="78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(66)实验室物品摆放有序，卫生状况良好，实验完毕物品归位，无废弃物品、不放无关物品。</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(67)不在实验室睡觉，不存放和烧煮食物、饮食，禁止吸烟，不使用可燃性蚊香。</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6.2.3</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实验室有卫生安全制度</w:t>
            </w:r>
          </w:p>
        </w:tc>
        <w:tc>
          <w:tcPr>
            <w:tcW w:w="78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(68)实验期间有记录。</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4"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6.3</w:t>
            </w:r>
          </w:p>
        </w:tc>
        <w:tc>
          <w:tcPr>
            <w:tcW w:w="13594"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场所其他安全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6.3.1</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每间实验室均有编号并登记造册</w:t>
            </w:r>
          </w:p>
        </w:tc>
        <w:tc>
          <w:tcPr>
            <w:tcW w:w="78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(69)现场查看门牌，查阅档案。</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6.3.2</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危险性实验室应配备急救物品</w:t>
            </w:r>
          </w:p>
        </w:tc>
        <w:tc>
          <w:tcPr>
            <w:tcW w:w="78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(70)配备的药箱不得上锁，并定期检查药品是否在保质期内。</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6.3.3</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停用的实验室有安全防范措施和明显标识</w:t>
            </w:r>
          </w:p>
        </w:tc>
        <w:tc>
          <w:tcPr>
            <w:tcW w:w="7869"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(71)查看现场。</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4"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7</w:t>
            </w:r>
          </w:p>
        </w:tc>
        <w:tc>
          <w:tcPr>
            <w:tcW w:w="13594"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安全设施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4"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7.1</w:t>
            </w:r>
          </w:p>
        </w:tc>
        <w:tc>
          <w:tcPr>
            <w:tcW w:w="13594"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消防设施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7.1.1</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实验室应配备合适的灭火设备，并定期开展使用训练</w:t>
            </w:r>
          </w:p>
        </w:tc>
        <w:tc>
          <w:tcPr>
            <w:tcW w:w="78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(72)烟感报警器、灭火器、灭火毯、消防砂、消防喷淋等，应正常有效、方便取用。</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(73)灭火器种类配置正确， 且在有效期内(压力指针位置正常等),保险销正常，瓶身无破损、腐蚀。</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7.1.2</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紧急逃生疏散路线通畅</w:t>
            </w:r>
          </w:p>
        </w:tc>
        <w:tc>
          <w:tcPr>
            <w:tcW w:w="78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(74)在显著位置张贴有紧急逃生疏散路线图，疏散路线图的逃生路线应有二条(含) 以上，路线与现场情况符合。</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(75)主要逃生路径(室内、楼梯、通道和出口处)有足够的紧急照明灯，功能正常，并设置有效标志指示逃生方向。</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(76)人员应熟悉紧急疏散路线及火场逃生注意事项(现场调查人员熟悉程度)。</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4"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7.2</w:t>
            </w:r>
          </w:p>
        </w:tc>
        <w:tc>
          <w:tcPr>
            <w:tcW w:w="13594"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应急喷淋与洗眼装置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0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7.2.1</w:t>
            </w:r>
          </w:p>
        </w:tc>
        <w:tc>
          <w:tcPr>
            <w:tcW w:w="358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存在燃烧、腐蚀等风险的实验区域，</w:t>
            </w:r>
          </w:p>
        </w:tc>
        <w:tc>
          <w:tcPr>
            <w:tcW w:w="78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(77)应急喷淋和洗眼装置的区域有显著标志。</w:t>
            </w:r>
          </w:p>
        </w:tc>
        <w:tc>
          <w:tcPr>
            <w:tcW w:w="214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8" w:type="default"/>
          <w:pgSz w:w="16841" w:h="11912"/>
          <w:pgMar w:top="1012" w:right="1958" w:bottom="1700" w:left="1841" w:header="0" w:footer="1576" w:gutter="0"/>
          <w:cols w:space="720" w:num="1"/>
        </w:sectPr>
      </w:pPr>
    </w:p>
    <w:tbl>
      <w:tblPr>
        <w:tblStyle w:val="6"/>
        <w:tblpPr w:leftFromText="180" w:rightFromText="180" w:vertAnchor="text" w:horzAnchor="page" w:tblpX="1203" w:tblpY="243"/>
        <w:tblOverlap w:val="never"/>
        <w:tblW w:w="141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568"/>
        <w:gridCol w:w="7779"/>
        <w:gridCol w:w="2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31"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568"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79"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20"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3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356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须配置应急喷淋和洗眼装置</w:t>
            </w:r>
          </w:p>
        </w:tc>
        <w:tc>
          <w:tcPr>
            <w:tcW w:w="777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212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73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7.2.2</w:t>
            </w:r>
          </w:p>
        </w:tc>
        <w:tc>
          <w:tcPr>
            <w:tcW w:w="356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应急喷淋与洗眼装置安装合理，并能正常使用</w:t>
            </w:r>
          </w:p>
        </w:tc>
        <w:tc>
          <w:tcPr>
            <w:tcW w:w="777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(78)应急喷淋安装地点与工作区域之间畅通，距离不超过30m。应急喷淋安装位置合适，拉杆位置合适、方向正确。应急喷淋装置水管总阀为常开状态，喷淋头下方410mm范围内无障碍物。</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(79)不能以普通淋浴装置代替应急喷淋装置。</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(80)洗眼装置接入生活用水管道，应至少以1.5L/min的流量供水，水压适中，水流畅通平稳。</w:t>
            </w:r>
          </w:p>
        </w:tc>
        <w:tc>
          <w:tcPr>
            <w:tcW w:w="212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3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7.2.3</w:t>
            </w:r>
          </w:p>
        </w:tc>
        <w:tc>
          <w:tcPr>
            <w:tcW w:w="356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定期对应急喷淋与洗眼装置进行维护</w:t>
            </w:r>
          </w:p>
        </w:tc>
        <w:tc>
          <w:tcPr>
            <w:tcW w:w="777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(81)经常对应急喷淋与洗眼装置进行维护，无锈水、脏水，有检查记录。</w:t>
            </w:r>
          </w:p>
        </w:tc>
        <w:tc>
          <w:tcPr>
            <w:tcW w:w="212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31"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7.3</w:t>
            </w:r>
          </w:p>
        </w:tc>
        <w:tc>
          <w:tcPr>
            <w:tcW w:w="13467"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通风系统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73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7.3.1</w:t>
            </w:r>
          </w:p>
        </w:tc>
        <w:tc>
          <w:tcPr>
            <w:tcW w:w="3568"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有需要的实验场所配备符合设计规范的通风系统</w:t>
            </w:r>
          </w:p>
        </w:tc>
        <w:tc>
          <w:tcPr>
            <w:tcW w:w="777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(82)管道风机须防腐，使用可燃气体的场所宜采用防爆风机。</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(83)实验室通风系统运行正常，柜口面风速0.35~0.75m/s,定期进行维护、检修。</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(84)屋顶风机固定无松动、无异常噪声。</w:t>
            </w:r>
          </w:p>
        </w:tc>
        <w:tc>
          <w:tcPr>
            <w:tcW w:w="212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73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7.3.2</w:t>
            </w:r>
          </w:p>
        </w:tc>
        <w:tc>
          <w:tcPr>
            <w:tcW w:w="356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通风柜配置合理、使用正常、操作合规</w:t>
            </w:r>
          </w:p>
        </w:tc>
        <w:tc>
          <w:tcPr>
            <w:tcW w:w="7779"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(85)实验室排出的有害物质浓度超过国家现行标准规定的允许排放标准时，须采取净化措施，做到达标排放。</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(86)任何可能产生有毒有害气体而导致个人曝露，或产生可燃、可爆炸气体或蒸气而导致积聚的实验，都须在通风柜内进行。</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(87)进行实验时，通风柜可调玻璃视窗开至离台面10～15cm,保持通风效果，并保护操作人员胸部以上部位。实验人员在通风柜进行实验时，避免将头伸入调节门内。不可将一次性手套或较轻的塑料袋等留在通风柜内，以免堵塞排风口。通风柜内放置的物品应距离调节门内侧15cm以上，以免掉落。不得将通风柜作为化学试剂存放场所。玻璃视窗材料应是钢化玻璃。</w:t>
            </w:r>
          </w:p>
        </w:tc>
        <w:tc>
          <w:tcPr>
            <w:tcW w:w="212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31"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7.4</w:t>
            </w:r>
          </w:p>
        </w:tc>
        <w:tc>
          <w:tcPr>
            <w:tcW w:w="13467"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门禁监控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3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7.4.1</w:t>
            </w:r>
          </w:p>
        </w:tc>
        <w:tc>
          <w:tcPr>
            <w:tcW w:w="356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重点场所须安装门禁和监控设施，并有专人管理</w:t>
            </w:r>
          </w:p>
        </w:tc>
        <w:tc>
          <w:tcPr>
            <w:tcW w:w="777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(88)关注重点场所，如剧毒品、病原微生物、放射源存放点、核材料等危险源的管理。</w:t>
            </w:r>
          </w:p>
        </w:tc>
        <w:tc>
          <w:tcPr>
            <w:tcW w:w="212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3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7.4.2</w:t>
            </w:r>
          </w:p>
        </w:tc>
        <w:tc>
          <w:tcPr>
            <w:tcW w:w="3568"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门禁和监控系统运转正常，与实验室准入制度相匹配</w:t>
            </w:r>
          </w:p>
        </w:tc>
        <w:tc>
          <w:tcPr>
            <w:tcW w:w="777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(89)监控不留死角，图像清晰，人员出入记录可查，视频记录存储时间不少于30天。</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(90)停电时，电子门禁系统应是开启状态或者有备用机械钥匙。</w:t>
            </w:r>
          </w:p>
        </w:tc>
        <w:tc>
          <w:tcPr>
            <w:tcW w:w="212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3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7.5</w:t>
            </w:r>
          </w:p>
        </w:tc>
        <w:tc>
          <w:tcPr>
            <w:tcW w:w="13467" w:type="dxa"/>
            <w:gridSpan w:val="3"/>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实验室防爆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3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7.5.1</w:t>
            </w:r>
          </w:p>
        </w:tc>
        <w:tc>
          <w:tcPr>
            <w:tcW w:w="356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有防爆需求的实验室须符合防爆设计要求</w:t>
            </w:r>
          </w:p>
        </w:tc>
        <w:tc>
          <w:tcPr>
            <w:tcW w:w="777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(91)安装有防爆开关、防爆灯等，安装必要的气体报警系统、监控系统、应急系统等。</w:t>
            </w:r>
          </w:p>
        </w:tc>
        <w:tc>
          <w:tcPr>
            <w:tcW w:w="212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9" w:type="default"/>
          <w:pgSz w:w="16841" w:h="11912"/>
          <w:pgMar w:top="1012" w:right="1870" w:bottom="1535" w:left="1841" w:header="0" w:footer="1402" w:gutter="0"/>
          <w:cols w:space="720" w:num="1"/>
        </w:sectPr>
      </w:pPr>
    </w:p>
    <w:tbl>
      <w:tblPr>
        <w:tblStyle w:val="6"/>
        <w:tblpPr w:leftFromText="180" w:rightFromText="180" w:vertAnchor="text" w:horzAnchor="page" w:tblpX="1199" w:tblpY="51"/>
        <w:tblOverlap w:val="never"/>
        <w:tblW w:w="140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3560"/>
        <w:gridCol w:w="7669"/>
        <w:gridCol w:w="2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7"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560"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669"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12"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37"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356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76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(92)可燃气体管道，应科学选用和安装阻火器，</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(93)采取有效措施，避免或减少出现危险爆炸性环境，避免出现任何潜在的有效 点燃源。</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37"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7.5.2</w:t>
            </w:r>
          </w:p>
        </w:tc>
        <w:tc>
          <w:tcPr>
            <w:tcW w:w="356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应妥善防护具有爆炸危险性的仪器设备</w:t>
            </w:r>
          </w:p>
        </w:tc>
        <w:tc>
          <w:tcPr>
            <w:tcW w:w="7669"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(94)使用适合的安全罩防护。</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7"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8</w:t>
            </w:r>
          </w:p>
        </w:tc>
        <w:tc>
          <w:tcPr>
            <w:tcW w:w="13341"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基础安全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7"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8.1</w:t>
            </w:r>
          </w:p>
        </w:tc>
        <w:tc>
          <w:tcPr>
            <w:tcW w:w="13341"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用电、用水基础安全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2" w:hRule="atLeast"/>
        </w:trPr>
        <w:tc>
          <w:tcPr>
            <w:tcW w:w="737"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8.1.1</w:t>
            </w:r>
          </w:p>
        </w:tc>
        <w:tc>
          <w:tcPr>
            <w:tcW w:w="356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实验室用电安全应符合国家标准(导则) 和行业标准</w:t>
            </w:r>
          </w:p>
        </w:tc>
        <w:tc>
          <w:tcPr>
            <w:tcW w:w="7669"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(95)实验室配电容量、插头插座与用电设备功率须匹配，不得私自改装。</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(96)电源插座须有效固定。</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(97)电气设备应配备空气开关和漏电保护器。</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(98)不私自乱拉、乱接电线、电缆，禁止多个接线板串接供电，接线板不宜直接 置于地面。</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(99)禁止使用老化的线缆、花线、木质配电板、有破损的接线板，电线接头绝缘可靠，无裸露连接线，穿越通道的线缆应有盖板或护套，不使用老国标接线板、插座。</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(100)大功率仪器(包括空调等)使用专用插座。</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(101)电器长期不用时，应切断电源。</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(102)配电箱前不应有物品遮挡并便于操作，周围不应放置烘箱、电炉、易燃易爆 气瓶、易燃易爆化学试剂、废液桶等；配电箱的金属箱体应与箱内保护零线或保护地线可靠连接。</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37"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8.1.2</w:t>
            </w:r>
          </w:p>
        </w:tc>
        <w:tc>
          <w:tcPr>
            <w:tcW w:w="356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给水、排水系统布置合理，运行正常</w:t>
            </w:r>
          </w:p>
        </w:tc>
        <w:tc>
          <w:tcPr>
            <w:tcW w:w="76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(103)水槽、地漏及下水道畅通，水龙头、上下水管无破损。</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(104)各类连接管无老化破损(特别是冷却冷凝系统的橡胶管接口处)。</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(105)各楼层及实验室的各级水管总阀须有明显的标识。</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37"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8.2</w:t>
            </w:r>
          </w:p>
        </w:tc>
        <w:tc>
          <w:tcPr>
            <w:tcW w:w="13341"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个体防护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737"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8.2.1</w:t>
            </w:r>
          </w:p>
        </w:tc>
        <w:tc>
          <w:tcPr>
            <w:tcW w:w="356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实验人员须配备合适的个体防护用品</w:t>
            </w:r>
          </w:p>
        </w:tc>
        <w:tc>
          <w:tcPr>
            <w:tcW w:w="766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(106)进入实验室人员须穿着质地合适的实验服或防护服。</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(107)按需要佩戴防护眼镜、防护手套、安全帽、防护帽、呼吸器或面罩(呼吸器 或面罩在有效期内，不用时须密封放置)等。</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(108)进行化学、生物安全和高温实验时，谨慎佩戴隐形眼镜。</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(109)操作机床等旋转设备时，不得佩戴长围巾、丝巾、领带等，长发须盘在工作 帽内。</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tbl>
      <w:tblPr>
        <w:tblStyle w:val="6"/>
        <w:tblpPr w:leftFromText="180" w:rightFromText="180" w:vertAnchor="text" w:horzAnchor="page" w:tblpX="1244" w:tblpY="84"/>
        <w:tblOverlap w:val="never"/>
        <w:tblW w:w="140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3622"/>
        <w:gridCol w:w="7673"/>
        <w:gridCol w:w="2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90"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622"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673"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00"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36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767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(110)穿着化学、生物类实验服或戴实验手套时，不得随意进入非实验区。</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8.2.2</w:t>
            </w:r>
          </w:p>
        </w:tc>
        <w:tc>
          <w:tcPr>
            <w:tcW w:w="36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个体防护用品合理存放，存放地点有明显标识</w:t>
            </w:r>
          </w:p>
        </w:tc>
        <w:tc>
          <w:tcPr>
            <w:tcW w:w="7673"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(111)在紧急情况须使用的个体防护器具应分散存放在安全场所，以便于取用。</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9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8.2.3</w:t>
            </w:r>
          </w:p>
        </w:tc>
        <w:tc>
          <w:tcPr>
            <w:tcW w:w="36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各类个体防护用品的使用有培训及定期检查维护记录</w:t>
            </w:r>
          </w:p>
        </w:tc>
        <w:tc>
          <w:tcPr>
            <w:tcW w:w="7673"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(112)检查培训及维护记录。</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69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8.3</w:t>
            </w:r>
          </w:p>
        </w:tc>
        <w:tc>
          <w:tcPr>
            <w:tcW w:w="13395" w:type="dxa"/>
            <w:gridSpan w:val="3"/>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8.3.1</w:t>
            </w:r>
          </w:p>
        </w:tc>
        <w:tc>
          <w:tcPr>
            <w:tcW w:w="36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危险性实验(如高温、高压、高速运转等) 时必须有两人在场</w:t>
            </w:r>
          </w:p>
        </w:tc>
        <w:tc>
          <w:tcPr>
            <w:tcW w:w="7673"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(113)实验时不能脱岗，通宵实验须两人在场并有事先审批制度。</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8.3.2</w:t>
            </w:r>
          </w:p>
        </w:tc>
        <w:tc>
          <w:tcPr>
            <w:tcW w:w="36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实验台面整洁、实验记录规范</w:t>
            </w:r>
          </w:p>
        </w:tc>
        <w:tc>
          <w:tcPr>
            <w:tcW w:w="767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(114)查看实验台面和实验记录。</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69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9</w:t>
            </w:r>
          </w:p>
        </w:tc>
        <w:tc>
          <w:tcPr>
            <w:tcW w:w="13395"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化学安全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9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9.1</w:t>
            </w:r>
          </w:p>
        </w:tc>
        <w:tc>
          <w:tcPr>
            <w:tcW w:w="13395"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危险化学品储存区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9.1.1</w:t>
            </w:r>
          </w:p>
        </w:tc>
        <w:tc>
          <w:tcPr>
            <w:tcW w:w="36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学校建有危险化学品储存区并规范管理</w:t>
            </w:r>
          </w:p>
        </w:tc>
        <w:tc>
          <w:tcPr>
            <w:tcW w:w="767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(115)危险化学品储存区须有通风、隔热、避光、防盗、防爆、防静电、泄漏报警、应急喷淋、安全警示标识等措施，符合相关规定，专人管理。</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(116)危险化学品储存区的消防设施符合国家相关规定，正确配备灭火器材(如灭 火器、灭火毯、砂箱、自动喷淋等)。</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(117)危险化学品储存区不能建设在地下或半地下，不得建设在实验楼内。若只能  在实验楼内存放，则应按照实验室的标准要求管理(见“9.3实验室化学品的存放”)。</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(118)危险化学品储存区的试剂不混放，整箱试剂的叠加高度不大于1.5m。</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9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9.2</w:t>
            </w:r>
          </w:p>
        </w:tc>
        <w:tc>
          <w:tcPr>
            <w:tcW w:w="13395"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危险化学品购置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9.2.1</w:t>
            </w:r>
          </w:p>
        </w:tc>
        <w:tc>
          <w:tcPr>
            <w:tcW w:w="36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危险化学品采购须符合要求</w:t>
            </w:r>
          </w:p>
        </w:tc>
        <w:tc>
          <w:tcPr>
            <w:tcW w:w="767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(119)危险化学品须向具有生产经营许可资质的单位购买，查看相关供应商的经营 许可资质证书复印件。进口危险化学品应当向国务院安全生产监督管理部门负责危险化学品登记的机构办理危险化学品登记。</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9.2.2</w:t>
            </w:r>
          </w:p>
        </w:tc>
        <w:tc>
          <w:tcPr>
            <w:tcW w:w="3622"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剧毒品、易制爆品、易制毒品、爆炸品的购买程序合规</w:t>
            </w:r>
          </w:p>
        </w:tc>
        <w:tc>
          <w:tcPr>
            <w:tcW w:w="767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(120)购买前须经学校审批，报公安部门批准或备案后，向具有经营许可资质的单 位购买，并保留报批及审批记录。</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(121)建立购买、验收、使用等台账资料。</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(122)不得私自从外单位获取管制类化学品，也不得给外单位或个人提供管制化学 品。</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9.2.3</w:t>
            </w:r>
          </w:p>
        </w:tc>
        <w:tc>
          <w:tcPr>
            <w:tcW w:w="36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麻醉药品、精神药品等购买前须向食品药品监督管理部门申请</w:t>
            </w:r>
          </w:p>
        </w:tc>
        <w:tc>
          <w:tcPr>
            <w:tcW w:w="7673"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(123)报批同意后向定点供应商或者定点生产企业采购。</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9.2.4</w:t>
            </w:r>
          </w:p>
        </w:tc>
        <w:tc>
          <w:tcPr>
            <w:tcW w:w="36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校内危险化学品的运输安全</w:t>
            </w:r>
          </w:p>
        </w:tc>
        <w:tc>
          <w:tcPr>
            <w:tcW w:w="767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(124)现场抽查，校园内的运输车辆、运送人员、送货方式等符合相关规范。</w:t>
            </w:r>
          </w:p>
        </w:tc>
        <w:tc>
          <w:tcPr>
            <w:tcW w:w="210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10" w:type="default"/>
          <w:pgSz w:w="16841" w:h="11912"/>
          <w:pgMar w:top="1012" w:right="2040" w:bottom="1715" w:left="1819" w:header="0" w:footer="1597" w:gutter="0"/>
          <w:cols w:space="720" w:num="1"/>
        </w:sectPr>
      </w:pPr>
    </w:p>
    <w:tbl>
      <w:tblPr>
        <w:tblStyle w:val="6"/>
        <w:tblpPr w:leftFromText="180" w:rightFromText="180" w:vertAnchor="text" w:horzAnchor="page" w:tblpX="1259" w:tblpY="147"/>
        <w:tblOverlap w:val="never"/>
        <w:tblW w:w="140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3574"/>
        <w:gridCol w:w="7736"/>
        <w:gridCol w:w="20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690"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574"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36"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055"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9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9.3</w:t>
            </w:r>
          </w:p>
        </w:tc>
        <w:tc>
          <w:tcPr>
            <w:tcW w:w="13365"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实验室化学品存放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9.3.1</w:t>
            </w:r>
          </w:p>
        </w:tc>
        <w:tc>
          <w:tcPr>
            <w:tcW w:w="357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实验室内危险化学品建有动态台账</w:t>
            </w:r>
          </w:p>
        </w:tc>
        <w:tc>
          <w:tcPr>
            <w:tcW w:w="773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(125)建立实验室危险化学品动态台账，并有危险化学品安全技术说明书(SDS) 或安全周知卡，方便查阅。</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(126)定期清理废旧试剂，无累积现象。</w:t>
            </w:r>
          </w:p>
        </w:tc>
        <w:tc>
          <w:tcPr>
            <w:tcW w:w="205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9.3.2</w:t>
            </w:r>
          </w:p>
        </w:tc>
        <w:tc>
          <w:tcPr>
            <w:tcW w:w="357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化学品有专用存放空间并科学有序存放</w:t>
            </w:r>
          </w:p>
        </w:tc>
        <w:tc>
          <w:tcPr>
            <w:tcW w:w="773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(127)储藏室、储藏区、储存柜等应通风、隔热、避免阳光直射。</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(128)易泄漏、易挥发的试剂存放设备与地点应保证充足的通风。</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(129)试剂柜中不能有电源插座或接线板。</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(130)化学品有序分类存放，固体、液体不混乱放置，互为禁忌的化学品不得混放，试剂不得叠放。有机溶剂储存区应远离热源和火源。装有试剂的试剂瓶不得开口放置。实验台架无挡板不得存放化学试剂。</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(131)配备必要的二次泄漏防护、吸附或防溢流功能。</w:t>
            </w:r>
          </w:p>
        </w:tc>
        <w:tc>
          <w:tcPr>
            <w:tcW w:w="205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9.3.3</w:t>
            </w:r>
          </w:p>
        </w:tc>
        <w:tc>
          <w:tcPr>
            <w:tcW w:w="3574"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实验室内存放的危险化学品总量符合规定要求</w:t>
            </w:r>
          </w:p>
        </w:tc>
        <w:tc>
          <w:tcPr>
            <w:tcW w:w="773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(132)危险化学品(不含压缩气体和液化气体)原则上不应超过100L或100Kg, 其中易燃易爆性化学品的存放总量不应超过50L或50Kg,且单一包装容器不应大于20L或20Kg(按50m²为标准，存放量按实验室面积比考量)。</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(133)常年大量使用易燃易爆溶剂或气体须加装泄漏报警器，储存部位应加装常时 排风或与检测报警联动排风装置。</w:t>
            </w:r>
          </w:p>
        </w:tc>
        <w:tc>
          <w:tcPr>
            <w:tcW w:w="205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9.3.4</w:t>
            </w:r>
          </w:p>
        </w:tc>
        <w:tc>
          <w:tcPr>
            <w:tcW w:w="357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化学品标签应显著、完整、清晰</w:t>
            </w:r>
          </w:p>
        </w:tc>
        <w:tc>
          <w:tcPr>
            <w:tcW w:w="773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(134)化学品包装物上须有符合规定的化学品标签，</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(135)当化学品由原包装物转移或分装到其他包装物内时，转移或分装后的包装物 应及时重新粘贴标识。化学品标签脱落、模糊、腐蚀后应及时补上，如不能确认， 则按不明废弃化学品处置。</w:t>
            </w:r>
          </w:p>
        </w:tc>
        <w:tc>
          <w:tcPr>
            <w:tcW w:w="205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9.3.5</w:t>
            </w:r>
          </w:p>
        </w:tc>
        <w:tc>
          <w:tcPr>
            <w:tcW w:w="357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其他化学品存放</w:t>
            </w:r>
          </w:p>
        </w:tc>
        <w:tc>
          <w:tcPr>
            <w:tcW w:w="773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(136)装有配制试剂、合成品、样品等的容器上标签信息明确，标签信息包括名称 或编号、使用人、日期等。</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(137)无使用饮料瓶存放试剂，样品的现象，如确需使用，必须撕去原包装纸，贴 上试剂标签。</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(138)不使用破损量简、试管、移液管等玻璃器皿。</w:t>
            </w:r>
          </w:p>
        </w:tc>
        <w:tc>
          <w:tcPr>
            <w:tcW w:w="205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69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9.4</w:t>
            </w:r>
          </w:p>
        </w:tc>
        <w:tc>
          <w:tcPr>
            <w:tcW w:w="13365"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实验操作安全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9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9.4.1</w:t>
            </w:r>
          </w:p>
        </w:tc>
        <w:tc>
          <w:tcPr>
            <w:tcW w:w="357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制定危险实验、危险化工工艺指导书、各类标准操作规程(SOP)、应急预案</w:t>
            </w:r>
          </w:p>
        </w:tc>
        <w:tc>
          <w:tcPr>
            <w:tcW w:w="773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(139)危险化工工艺指导书和应急预案上墙或便于取阅，实验人员熟悉所涉及的危 险性及应急处理措施，按照危险化工工艺指导书进行实验。</w:t>
            </w:r>
          </w:p>
        </w:tc>
        <w:tc>
          <w:tcPr>
            <w:tcW w:w="205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69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9.4.2</w:t>
            </w:r>
          </w:p>
        </w:tc>
        <w:tc>
          <w:tcPr>
            <w:tcW w:w="3574"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危险化工工艺和装置应设置自动控制</w:t>
            </w:r>
          </w:p>
        </w:tc>
        <w:tc>
          <w:tcPr>
            <w:tcW w:w="773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(140)涉及危险化工工艺、重点监管危险化学品的反应装置应设置自动化控制系统。</w:t>
            </w:r>
          </w:p>
        </w:tc>
        <w:tc>
          <w:tcPr>
            <w:tcW w:w="205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line="240" w:lineRule="auto"/>
        <w:jc w:val="both"/>
        <w:rPr>
          <w:rFonts w:hint="eastAsia" w:ascii="仿宋" w:hAnsi="仿宋" w:eastAsia="仿宋" w:cs="宋体"/>
          <w:snapToGrid w:val="0"/>
          <w:color w:val="000000"/>
          <w:spacing w:val="1"/>
          <w:sz w:val="21"/>
          <w:szCs w:val="21"/>
          <w:lang w:val="en-US" w:eastAsia="zh-CN" w:bidi="ar-SA"/>
        </w:rPr>
        <w:sectPr>
          <w:footerReference r:id="rId11" w:type="default"/>
          <w:pgSz w:w="16841" w:h="11912"/>
          <w:pgMar w:top="1012" w:right="1932" w:bottom="1681" w:left="1848" w:header="0" w:footer="1556" w:gutter="0"/>
          <w:cols w:space="720" w:num="1"/>
        </w:sectPr>
      </w:pPr>
    </w:p>
    <w:tbl>
      <w:tblPr>
        <w:tblStyle w:val="6"/>
        <w:tblpPr w:leftFromText="180" w:rightFromText="180" w:vertAnchor="text" w:horzAnchor="page" w:tblpX="1259" w:tblpY="150"/>
        <w:tblOverlap w:val="never"/>
        <w:tblW w:w="140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3518"/>
        <w:gridCol w:w="7784"/>
        <w:gridCol w:w="2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03"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518"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84"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080"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3518"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和电源冗余设计</w:t>
            </w:r>
          </w:p>
        </w:tc>
        <w:tc>
          <w:tcPr>
            <w:tcW w:w="778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(141)涉及放热反应的危险化工工艺生产装置应设置双重电源供电或控制系统应配 置不间断电源。</w:t>
            </w:r>
          </w:p>
        </w:tc>
        <w:tc>
          <w:tcPr>
            <w:tcW w:w="20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3"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9,4.3</w:t>
            </w:r>
          </w:p>
        </w:tc>
        <w:tc>
          <w:tcPr>
            <w:tcW w:w="3518"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做好有毒有害废气的处理和防护</w:t>
            </w:r>
          </w:p>
        </w:tc>
        <w:tc>
          <w:tcPr>
            <w:tcW w:w="778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(142)对于产生有毒有害废气的实验，须在通风柜中进行，并在实验装置尾端配有 气体吸收装置，操作者佩戴合适有效的呼吸防护用具。</w:t>
            </w:r>
          </w:p>
        </w:tc>
        <w:tc>
          <w:tcPr>
            <w:tcW w:w="20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03"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9.5</w:t>
            </w:r>
          </w:p>
        </w:tc>
        <w:tc>
          <w:tcPr>
            <w:tcW w:w="13382"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管制类化学品管理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9.5.1</w:t>
            </w:r>
          </w:p>
        </w:tc>
        <w:tc>
          <w:tcPr>
            <w:tcW w:w="35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剧毒化学品执行“五双 ”管理(即双人验收、双人保管、双人发货、双把锁、双本账),技防措施符合管制要求</w:t>
            </w:r>
          </w:p>
        </w:tc>
        <w:tc>
          <w:tcPr>
            <w:tcW w:w="778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(143)单独存放，不得与易燃、易爆、腐蚀性物品等一起存放。</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(144)有专人管理并做好贮存、领取、发放情况登记，登记资料至少保存1年。</w:t>
            </w:r>
          </w:p>
          <w:p>
            <w:pPr>
              <w:pStyle w:val="7"/>
              <w:spacing w:before="45" w:line="216" w:lineRule="auto"/>
              <w:ind w:left="83"/>
              <w:jc w:val="both"/>
              <w:rPr>
                <w:rFonts w:hint="default"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(145)防盗安全门应符合GB17565《防盗安全门通用技术条件》的要求，防盗安全级别为乙级(含)以上，防盗锁应符合GA/T73《机械防盗锁》的要求，防盗保险柜应符合GB10409《防盗保险柜》的要求，监控管控执行公安部门的要求。</w:t>
            </w:r>
          </w:p>
        </w:tc>
        <w:tc>
          <w:tcPr>
            <w:tcW w:w="20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9.5.2</w:t>
            </w:r>
          </w:p>
        </w:tc>
        <w:tc>
          <w:tcPr>
            <w:tcW w:w="3518"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易制毒化学品储存规范，台账清晰</w:t>
            </w:r>
          </w:p>
        </w:tc>
        <w:tc>
          <w:tcPr>
            <w:tcW w:w="778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(146)应设置专用存储区或者专柜储存并有防盗措施。</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(147)第一类易制毒化学品、药品类易制毒化学品实行双人双锁管理，账册保存期 限不少于2年。</w:t>
            </w:r>
          </w:p>
        </w:tc>
        <w:tc>
          <w:tcPr>
            <w:tcW w:w="20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7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9.5.3</w:t>
            </w:r>
          </w:p>
        </w:tc>
        <w:tc>
          <w:tcPr>
            <w:tcW w:w="3518"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易制爆化学品存量合规、双人双锁保管</w:t>
            </w:r>
          </w:p>
        </w:tc>
        <w:tc>
          <w:tcPr>
            <w:tcW w:w="778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(148)易制爆化学品存量合规。</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(149)存放场所出入口应设置防盗安全门，或存放在专用储存柜内，储存场所防盗 安全级别应为乙级(含)以上，专用储存柜应具有防盗功能，符合双人双锁管理要求，台账账册保存期限不少于1年。</w:t>
            </w:r>
          </w:p>
        </w:tc>
        <w:tc>
          <w:tcPr>
            <w:tcW w:w="20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7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9.5.4</w:t>
            </w:r>
          </w:p>
        </w:tc>
        <w:tc>
          <w:tcPr>
            <w:tcW w:w="35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麻醉药品和第一类精神药品管理符合“双人双锁 ”要求，有专用账册</w:t>
            </w:r>
          </w:p>
        </w:tc>
        <w:tc>
          <w:tcPr>
            <w:tcW w:w="778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(150)设立专库或者专柜储存，专库应当设有防盗设施并安装报警装置，专柜应当 使用保险柜，专库和专柜应当实行双人双锁管理。</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(151)配备专人管理并建立专用账册，专用账册的保存期限应当自药品有效期期满 之日起不少于5年。</w:t>
            </w:r>
          </w:p>
        </w:tc>
        <w:tc>
          <w:tcPr>
            <w:tcW w:w="20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9.5.5</w:t>
            </w:r>
          </w:p>
        </w:tc>
        <w:tc>
          <w:tcPr>
            <w:tcW w:w="35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爆炸品单独隔离、限量存储，使用、销毁按照公安部门的要求执行</w:t>
            </w:r>
          </w:p>
        </w:tc>
        <w:tc>
          <w:tcPr>
            <w:tcW w:w="7784"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(152)收存和发放民用爆炸物品必须进行登记，做到账目清楚，账物相符。</w:t>
            </w:r>
          </w:p>
        </w:tc>
        <w:tc>
          <w:tcPr>
            <w:tcW w:w="20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03"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9.6</w:t>
            </w:r>
          </w:p>
        </w:tc>
        <w:tc>
          <w:tcPr>
            <w:tcW w:w="13382"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实验气体管理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9.6.1</w:t>
            </w:r>
          </w:p>
        </w:tc>
        <w:tc>
          <w:tcPr>
            <w:tcW w:w="35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从合格供应商处采购实验气体，建立气体 (气瓶)台账</w:t>
            </w:r>
          </w:p>
        </w:tc>
        <w:tc>
          <w:tcPr>
            <w:tcW w:w="7784"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(153)查看记录。</w:t>
            </w:r>
          </w:p>
        </w:tc>
        <w:tc>
          <w:tcPr>
            <w:tcW w:w="20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9.6.2</w:t>
            </w:r>
          </w:p>
        </w:tc>
        <w:tc>
          <w:tcPr>
            <w:tcW w:w="35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气体(气瓶)的存放和使用符合相关要求</w:t>
            </w:r>
          </w:p>
        </w:tc>
        <w:tc>
          <w:tcPr>
            <w:tcW w:w="778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(154)气体(气瓶)存放点须通风、远离热源、避免暴晒，地面平整干燥。</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(155)气瓶应合理固定。</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(156)危险气体气瓶尽量置于室外，室内放置应使用常时排风且带监测报警装置的 气瓶柜。</w:t>
            </w:r>
          </w:p>
        </w:tc>
        <w:tc>
          <w:tcPr>
            <w:tcW w:w="20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jc w:val="center"/>
        <w:rPr>
          <w:rFonts w:hint="eastAsia" w:ascii="宋体" w:hAnsi="宋体" w:eastAsia="宋体" w:cs="宋体"/>
          <w:snapToGrid w:val="0"/>
          <w:color w:val="000000"/>
          <w:spacing w:val="1"/>
          <w:sz w:val="13"/>
          <w:szCs w:val="13"/>
          <w:lang w:val="en-US" w:eastAsia="zh-CN" w:bidi="ar-SA"/>
        </w:rPr>
      </w:pPr>
      <w:r>
        <w:rPr>
          <w:rFonts w:hint="eastAsia" w:ascii="宋体" w:hAnsi="宋体" w:eastAsia="宋体" w:cs="宋体"/>
          <w:snapToGrid w:val="0"/>
          <w:color w:val="000000"/>
          <w:spacing w:val="1"/>
          <w:sz w:val="13"/>
          <w:szCs w:val="13"/>
          <w:lang w:val="en-US" w:eastAsia="zh-CN" w:bidi="ar-SA"/>
        </w:rPr>
        <w:t>11</w:t>
      </w:r>
    </w:p>
    <w:p>
      <w:pPr>
        <w:pStyle w:val="7"/>
        <w:spacing w:before="45" w:line="216" w:lineRule="auto"/>
        <w:ind w:left="83"/>
        <w:jc w:val="center"/>
        <w:rPr>
          <w:rFonts w:hint="eastAsia" w:ascii="宋体" w:hAnsi="宋体" w:eastAsia="宋体" w:cs="宋体"/>
          <w:snapToGrid w:val="0"/>
          <w:color w:val="000000"/>
          <w:spacing w:val="1"/>
          <w:sz w:val="13"/>
          <w:szCs w:val="13"/>
          <w:lang w:val="en-US" w:eastAsia="zh-CN" w:bidi="ar-SA"/>
        </w:rPr>
        <w:sectPr>
          <w:footerReference r:id="rId12" w:type="default"/>
          <w:pgSz w:w="16841" w:h="11912"/>
          <w:pgMar w:top="1012" w:right="2018" w:bottom="400" w:left="1819" w:header="0" w:footer="0" w:gutter="0"/>
          <w:cols w:space="720" w:num="1"/>
        </w:sectPr>
      </w:pPr>
    </w:p>
    <w:tbl>
      <w:tblPr>
        <w:tblStyle w:val="6"/>
        <w:tblpPr w:leftFromText="180" w:rightFromText="180" w:vertAnchor="text" w:horzAnchor="page" w:tblpX="1274" w:tblpY="241"/>
        <w:tblOverlap w:val="never"/>
        <w:tblW w:w="141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3524"/>
        <w:gridCol w:w="7818"/>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681"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524"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818"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35"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5" w:hRule="atLeast"/>
        </w:trPr>
        <w:tc>
          <w:tcPr>
            <w:tcW w:w="68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352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78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(157)气瓶的存放应控制在最小需求量。</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(158)涉及有毒、可燃气体的场所，配有通风设施和相应的气体监测和报警装置等，张贴必要的安全警示标志。</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(159)可燃性气体与氧气等助燃气体气瓶不得混放。</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(160)独立的气体气瓶室应通风、不混放、有监控，有专人管理和记录。</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(161)有供应商提供的气瓶定期检验合格标识，无超过检验有效期的气瓶、无超过 设计年限的气瓶。</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(162)气瓶颜色符合GB/T7144《气瓶颜色标志》的规定，确认“满、使用中、空瓶 ”三种状态。</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(163)使用完毕，应及时关闭气瓶总阀。</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(164)气瓶附件齐全。</w:t>
            </w:r>
          </w:p>
        </w:tc>
        <w:tc>
          <w:tcPr>
            <w:tcW w:w="213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68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9.6.3</w:t>
            </w:r>
          </w:p>
        </w:tc>
        <w:tc>
          <w:tcPr>
            <w:tcW w:w="352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在较小密封空间使用可引起窒息的气体，须安装氧含量监测报警装置</w:t>
            </w:r>
          </w:p>
        </w:tc>
        <w:tc>
          <w:tcPr>
            <w:tcW w:w="78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(165)在存有大量无毒窒息性压缩气体或液化气体(液氮、液氢)的较小密闭空间， 为防止气体大量泄漏或蒸发导致缺氧，须安装氧含量监测报警装置。如，实验室存 放1瓶常见规格40L公称体积，15MPa公称压力的窒息性气体气瓶，实验室层高2.8m 时的临界面积为28m²,层高2.6m时的临界面积为30m²;实验室存放10L体积液氮(液态密度0.808g·mL</w:t>
            </w:r>
            <w:r>
              <w:rPr>
                <w:rFonts w:hint="eastAsia" w:ascii="仿宋" w:hAnsi="仿宋" w:eastAsia="仿宋" w:cs="宋体"/>
                <w:snapToGrid w:val="0"/>
                <w:color w:val="000000"/>
                <w:spacing w:val="1"/>
                <w:sz w:val="18"/>
                <w:szCs w:val="18"/>
                <w:lang w:val="en-US" w:eastAsia="zh-CN" w:bidi="ar-SA"/>
              </w:rPr>
              <w:t>*</w:t>
            </w:r>
            <w:r>
              <w:rPr>
                <w:rFonts w:hint="eastAsia" w:ascii="仿宋" w:hAnsi="仿宋" w:eastAsia="仿宋" w:cs="宋体"/>
                <w:snapToGrid w:val="0"/>
                <w:color w:val="000000"/>
                <w:spacing w:val="1"/>
                <w:sz w:val="21"/>
                <w:szCs w:val="21"/>
                <w:lang w:val="en-US" w:eastAsia="zh-CN" w:bidi="ar-SA"/>
              </w:rPr>
              <w:t>¹),实验室层高2.8m时的临界面积为30m²,层高2.6m 时的临界面积为35m²。</w:t>
            </w:r>
          </w:p>
        </w:tc>
        <w:tc>
          <w:tcPr>
            <w:tcW w:w="213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8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9.6.4</w:t>
            </w:r>
          </w:p>
        </w:tc>
        <w:tc>
          <w:tcPr>
            <w:tcW w:w="352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气体管路和气瓶连接正确，有清晰的标识</w:t>
            </w:r>
          </w:p>
        </w:tc>
        <w:tc>
          <w:tcPr>
            <w:tcW w:w="78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(166)管路材质选择合适，无破损或老化现象，定期进行气密性检查；存在多条气 体管路的房间须张贴详细的管路图，管路标识正确。</w:t>
            </w:r>
          </w:p>
        </w:tc>
        <w:tc>
          <w:tcPr>
            <w:tcW w:w="213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81"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9.7</w:t>
            </w:r>
          </w:p>
        </w:tc>
        <w:tc>
          <w:tcPr>
            <w:tcW w:w="13477"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实验室化学废弃物的收集、分类和转运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68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9,7.1</w:t>
            </w:r>
          </w:p>
        </w:tc>
        <w:tc>
          <w:tcPr>
            <w:tcW w:w="352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实验室应设立化学废弃物暂存区</w:t>
            </w:r>
          </w:p>
        </w:tc>
        <w:tc>
          <w:tcPr>
            <w:tcW w:w="78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(167)暂存区应远离火源、热源和不相容物质，避免日晒、雨淋，存放两种及以上 不相容的实验室危险废物时，应分不同区域。</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(168)暂存区应有警示标志并有防遗洒、防渗漏设施或措施。</w:t>
            </w:r>
          </w:p>
        </w:tc>
        <w:tc>
          <w:tcPr>
            <w:tcW w:w="213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681"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9.7.2</w:t>
            </w:r>
          </w:p>
        </w:tc>
        <w:tc>
          <w:tcPr>
            <w:tcW w:w="3524"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实验室内须规范收集化学废弃物</w:t>
            </w:r>
          </w:p>
        </w:tc>
        <w:tc>
          <w:tcPr>
            <w:tcW w:w="781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(169)危险废物应按化学特性和危险特性，进行分类收集和暂存。</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(170)废弃的化学试剂应存放在原试剂瓶中，保留原标签，且瓶口朝上放入专用固 废箱中。</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(171)针头等利器须放入利器盒中收集。</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(172)废液应分类装入专用废液桶中，液面不超过容量的3/4。废液桶须满足耐腐蚀、抗溶剂、耐挤压、抗冲击的要求。</w:t>
            </w:r>
          </w:p>
        </w:tc>
        <w:tc>
          <w:tcPr>
            <w:tcW w:w="213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rPr>
          <w:lang w:eastAsia="zh-CN"/>
        </w:rPr>
        <w:sectPr>
          <w:footerReference r:id="rId13" w:type="default"/>
          <w:pgSz w:w="16841" w:h="11912"/>
          <w:pgMar w:top="1012" w:right="1941" w:bottom="1654" w:left="1848" w:header="0" w:footer="1520" w:gutter="0"/>
          <w:cols w:space="720" w:num="1"/>
        </w:sectPr>
      </w:pPr>
    </w:p>
    <w:tbl>
      <w:tblPr>
        <w:tblStyle w:val="6"/>
        <w:tblpPr w:leftFromText="180" w:rightFromText="180" w:vertAnchor="text" w:horzAnchor="page" w:tblpX="1305" w:tblpY="-48"/>
        <w:tblOverlap w:val="never"/>
        <w:tblW w:w="141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3522"/>
        <w:gridCol w:w="7830"/>
        <w:gridCol w:w="2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80"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522"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830"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46"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6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35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78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(173)实验室危险废物收集容器上应粘贴危险废物信息标签、警示标识。</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(174)严禁将实验室危险废物直接排入下水道，严禁与生活垃圾、感染性废物或放 射性废物等混装。</w:t>
            </w:r>
          </w:p>
        </w:tc>
        <w:tc>
          <w:tcPr>
            <w:tcW w:w="21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680" w:type="dxa"/>
            <w:vAlign w:val="top"/>
          </w:tcPr>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9.7.3</w:t>
            </w:r>
          </w:p>
        </w:tc>
        <w:tc>
          <w:tcPr>
            <w:tcW w:w="3522" w:type="dxa"/>
            <w:vAlign w:val="top"/>
          </w:tcPr>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学校应建设化学废弃物贮存站并规范管理</w:t>
            </w:r>
          </w:p>
        </w:tc>
        <w:tc>
          <w:tcPr>
            <w:tcW w:w="78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(175)贮存设施、场所应当按照规定设置危险废物识别标志，存储装置符合GB/T 41962《实验室废弃物存储装置技术规范》的要求，易燃废弃物室外存储装置的单套内部面积应不大于30m²、高应不大于3m(尺寸误差应不大于10%),并在通风口处设置防火阀，公称动作温度为70℃。</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(176)贮存站应有具体的管理办法并将贮存站安全运行、实验室危险废物出站转运 等日常管理工作落实到相关人员的岗位职责中。</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(177)制定意外事故的防范措施和应急预案，并向所在地生态环境主管部门备案。</w:t>
            </w:r>
          </w:p>
        </w:tc>
        <w:tc>
          <w:tcPr>
            <w:tcW w:w="21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6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9,7.4</w:t>
            </w:r>
          </w:p>
        </w:tc>
        <w:tc>
          <w:tcPr>
            <w:tcW w:w="35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化学废弃物的转运须合规</w:t>
            </w:r>
          </w:p>
        </w:tc>
        <w:tc>
          <w:tcPr>
            <w:tcW w:w="78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(178)委托有危险废物处置资质的专业厂家集中处置化学废弃物，并查看协议。</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(179)建立危险废物管理台账，如实记录有关信息，包括种类、产生量、流向、贮 存、处置等有关资料。</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(180)校外转运之前，贮存站必须妥善管理实验室危险废物，采取有效措施，防止 废物的扬散、流失、渗漏或造成其他环境污染。</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(181)转运人员应使用专用运输工具，运输前根据运输废物的危险特性，应携带必 要的应急物资和个体防护用具，如收集工具，手套、口罩等。</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(182)实验室危险废物的校外转运必须按照国家有关规定填写危险废物电子或者纸 质转移联单，任何单位和个人未经许可不得非法转运。</w:t>
            </w:r>
          </w:p>
        </w:tc>
        <w:tc>
          <w:tcPr>
            <w:tcW w:w="21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8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10</w:t>
            </w:r>
          </w:p>
        </w:tc>
        <w:tc>
          <w:tcPr>
            <w:tcW w:w="13498"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生物安全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8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10.1</w:t>
            </w:r>
          </w:p>
        </w:tc>
        <w:tc>
          <w:tcPr>
            <w:tcW w:w="13498"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实验室生物安全等级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680" w:type="dxa"/>
          </w:tcPr>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10.1.1</w:t>
            </w:r>
          </w:p>
        </w:tc>
        <w:tc>
          <w:tcPr>
            <w:tcW w:w="3522"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开展病原微生物实验研究的实验室，须具备相应的安全等级资质</w:t>
            </w:r>
          </w:p>
        </w:tc>
        <w:tc>
          <w:tcPr>
            <w:tcW w:w="78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(183)BSL-3/ABSL-3、BSL-4/ABSL-4实验室须经政府部门批准建设，BSL-I/ABSL-1、BSL-2/ABSL-2实验室由学校建设后报卫生或农业部门备案。</w:t>
            </w:r>
          </w:p>
        </w:tc>
        <w:tc>
          <w:tcPr>
            <w:tcW w:w="21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10.1.2</w:t>
            </w:r>
          </w:p>
        </w:tc>
        <w:tc>
          <w:tcPr>
            <w:tcW w:w="3522"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在相应等级的实验室开展涉及致病性生物因子的实验活动</w:t>
            </w:r>
          </w:p>
        </w:tc>
        <w:tc>
          <w:tcPr>
            <w:tcW w:w="78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(184)以国家法律、法规、标准、规范，以及权威机构发布的指南、数据等为依据， 对涉及的致病性生物因子进行风险评估，选择对应的实验室安全级别进行致病性病 原微生物研究，重点关注：开展未经灭活的高致病性病原微生物(列入一类、二类) 相关实验和研究，必须在BSL-3/ABSL-3、BSL-4/ABSL-4实验室中进行；开展低致  病性病原微生物(列入三类、四类),或经灭活的高致病性感染性材料的相关实验和研究，必须在BSL-I/ABSL-1、BSL-2/ABSL-2或以上等级实验室中进行。</w:t>
            </w:r>
          </w:p>
        </w:tc>
        <w:tc>
          <w:tcPr>
            <w:tcW w:w="21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14" w:type="default"/>
          <w:pgSz w:w="16841" w:h="11912"/>
          <w:pgMar w:top="1012" w:right="1898" w:bottom="1515" w:left="1841" w:header="0" w:footer="1381" w:gutter="0"/>
          <w:cols w:space="720" w:num="1"/>
        </w:sectPr>
      </w:pPr>
    </w:p>
    <w:tbl>
      <w:tblPr>
        <w:tblStyle w:val="6"/>
        <w:tblpPr w:leftFromText="180" w:rightFromText="180" w:vertAnchor="text" w:horzAnchor="page" w:tblpX="1305" w:tblpY="156"/>
        <w:tblOverlap w:val="never"/>
        <w:tblW w:w="1419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3440"/>
        <w:gridCol w:w="7825"/>
        <w:gridCol w:w="2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0" w:type="dxa"/>
            <w:vAlign w:val="top"/>
          </w:tcPr>
          <w:p>
            <w:pPr>
              <w:pStyle w:val="7"/>
              <w:spacing w:before="36" w:line="223" w:lineRule="auto"/>
              <w:rPr>
                <w:rFonts w:hint="eastAsia" w:ascii="仿宋" w:hAnsi="仿宋" w:eastAsia="仿宋" w:cs="宋体"/>
                <w:snapToGrid w:val="0"/>
                <w:color w:val="000000"/>
                <w:spacing w:val="1"/>
                <w:sz w:val="21"/>
                <w:szCs w:val="21"/>
                <w:lang w:val="en-US" w:eastAsia="zh-CN" w:bidi="ar-SA"/>
              </w:rPr>
            </w:pPr>
            <w:r>
              <w:rPr>
                <w:rFonts w:hint="eastAsia" w:ascii="黑体" w:hAnsi="黑体" w:eastAsia="黑体" w:cs="黑体"/>
                <w:b/>
                <w:bCs/>
                <w:spacing w:val="3"/>
                <w:sz w:val="21"/>
                <w:szCs w:val="21"/>
              </w:rPr>
              <w:t>序号</w:t>
            </w:r>
          </w:p>
        </w:tc>
        <w:tc>
          <w:tcPr>
            <w:tcW w:w="3440" w:type="dxa"/>
            <w:vAlign w:val="top"/>
          </w:tcPr>
          <w:p>
            <w:pPr>
              <w:pStyle w:val="7"/>
              <w:spacing w:before="36" w:line="223" w:lineRule="auto"/>
              <w:ind w:left="41" w:leftChars="0"/>
              <w:rPr>
                <w:rFonts w:hint="eastAsia" w:ascii="仿宋" w:hAnsi="仿宋" w:eastAsia="仿宋" w:cs="宋体"/>
                <w:snapToGrid w:val="0"/>
                <w:color w:val="000000"/>
                <w:spacing w:val="1"/>
                <w:sz w:val="21"/>
                <w:szCs w:val="21"/>
                <w:lang w:val="en-US" w:eastAsia="zh-CN" w:bidi="ar-SA"/>
              </w:rPr>
            </w:pPr>
            <w:r>
              <w:rPr>
                <w:rFonts w:hint="eastAsia" w:ascii="黑体" w:hAnsi="黑体" w:eastAsia="黑体" w:cs="黑体"/>
                <w:b/>
                <w:bCs/>
                <w:spacing w:val="10"/>
                <w:sz w:val="21"/>
                <w:szCs w:val="21"/>
              </w:rPr>
              <w:t>检查项目</w:t>
            </w:r>
          </w:p>
        </w:tc>
        <w:tc>
          <w:tcPr>
            <w:tcW w:w="7825" w:type="dxa"/>
            <w:vAlign w:val="top"/>
          </w:tcPr>
          <w:p>
            <w:pPr>
              <w:pStyle w:val="7"/>
              <w:spacing w:before="36" w:line="223" w:lineRule="auto"/>
              <w:ind w:left="75" w:leftChars="0"/>
              <w:rPr>
                <w:rFonts w:hint="eastAsia" w:ascii="仿宋" w:hAnsi="仿宋" w:eastAsia="仿宋" w:cs="宋体"/>
                <w:snapToGrid w:val="0"/>
                <w:color w:val="000000"/>
                <w:spacing w:val="1"/>
                <w:sz w:val="21"/>
                <w:szCs w:val="21"/>
                <w:lang w:val="en-US" w:eastAsia="zh-CN" w:bidi="ar-SA"/>
              </w:rPr>
            </w:pPr>
            <w:r>
              <w:rPr>
                <w:rFonts w:hint="eastAsia" w:ascii="黑体" w:hAnsi="黑体" w:eastAsia="黑体" w:cs="黑体"/>
                <w:b/>
                <w:bCs/>
                <w:spacing w:val="4"/>
                <w:sz w:val="21"/>
                <w:szCs w:val="21"/>
              </w:rPr>
              <w:t>检查要点</w:t>
            </w:r>
          </w:p>
        </w:tc>
        <w:tc>
          <w:tcPr>
            <w:tcW w:w="2145" w:type="dxa"/>
            <w:vAlign w:val="top"/>
          </w:tcPr>
          <w:p>
            <w:pPr>
              <w:pStyle w:val="7"/>
              <w:spacing w:before="36" w:line="223" w:lineRule="auto"/>
              <w:ind w:left="43" w:leftChars="0"/>
              <w:rPr>
                <w:rFonts w:hint="eastAsia" w:ascii="仿宋" w:hAnsi="仿宋" w:eastAsia="仿宋" w:cs="宋体"/>
                <w:snapToGrid w:val="0"/>
                <w:color w:val="000000"/>
                <w:spacing w:val="1"/>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78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10.2</w:t>
            </w:r>
          </w:p>
        </w:tc>
        <w:tc>
          <w:tcPr>
            <w:tcW w:w="13410"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场所与设施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10.2.1</w:t>
            </w:r>
          </w:p>
        </w:tc>
        <w:tc>
          <w:tcPr>
            <w:tcW w:w="344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实验室安全防范设施达到相应生物安全实验室要求，各区域分布合理、气压正常</w:t>
            </w:r>
          </w:p>
        </w:tc>
        <w:tc>
          <w:tcPr>
            <w:tcW w:w="782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(185)实验室须设门禁管理和准入制度，储存病原微生物的场所或储柜配备防盗设 施，BSL-3/ABSL-3及以上安全等级实验室须安装监控报警装置。</w:t>
            </w:r>
          </w:p>
        </w:tc>
        <w:tc>
          <w:tcPr>
            <w:tcW w:w="214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1" w:hRule="atLeast"/>
        </w:trPr>
        <w:tc>
          <w:tcPr>
            <w:tcW w:w="780"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10.2.2</w:t>
            </w:r>
          </w:p>
        </w:tc>
        <w:tc>
          <w:tcPr>
            <w:tcW w:w="344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配有符合相应要求的生物安全设施</w:t>
            </w:r>
          </w:p>
        </w:tc>
        <w:tc>
          <w:tcPr>
            <w:tcW w:w="78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(186)BSL-2以上安全等级实验室须配有Ⅱ级生物安全柜，ABSL-2适用时配备，并定期进行检测， B型生物安全柜须有正常通风系统。</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(187)病原微生物实验室应有可靠和充足的电力供应，配备适用的消防器材、洗眼 装置和必要的应急喷淋。</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(188)已设传递窗的实验室要保证传递窗功能正常，内部不存放物品；室外排风口 应有防风、防雨、防鼠、防虫设计，但不影响气体向上空排放。相关实验室采取有 效措施防止昆虫、啮齿动物进入或逃逸，如安装防虫纱窗、挡鼠板等。</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(189)生物安全实验室配有压力蒸汽灭菌器，按规定要求监测灭菌效果。</w:t>
            </w:r>
          </w:p>
        </w:tc>
        <w:tc>
          <w:tcPr>
            <w:tcW w:w="214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7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10.2.3</w:t>
            </w:r>
          </w:p>
        </w:tc>
        <w:tc>
          <w:tcPr>
            <w:tcW w:w="344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场所消毒要保证人员安全</w:t>
            </w:r>
          </w:p>
        </w:tc>
        <w:tc>
          <w:tcPr>
            <w:tcW w:w="78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(190)使用紫外灯的生物安全实验室应设安全警示标志，尤其要对紫外灯开关张贴 警示标识。</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(191)使用紫外灯的生物安全实验室在消毒过程中禁止人员进入。采用紫外加臭氧 方式消毒应在消毒时间结束后有一定的排风时间， 臭氧消散后人员方可进入。</w:t>
            </w:r>
          </w:p>
        </w:tc>
        <w:tc>
          <w:tcPr>
            <w:tcW w:w="214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78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10.3</w:t>
            </w:r>
          </w:p>
        </w:tc>
        <w:tc>
          <w:tcPr>
            <w:tcW w:w="13410"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病原微生物获取与保管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10.3.1</w:t>
            </w:r>
          </w:p>
        </w:tc>
        <w:tc>
          <w:tcPr>
            <w:tcW w:w="344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使用高致病性病原微生物菌(毒)种，须办理相应申请和报批手续</w:t>
            </w:r>
          </w:p>
        </w:tc>
        <w:tc>
          <w:tcPr>
            <w:tcW w:w="78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(192)从正规渠道获取病原微生物菌(毒)株，学校应有审批流程。</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(193)转移和运输高致病病原微生物须按规定报卫生和农业主管部门批准，并按相 应的运输包装要求包装后转移和运输。</w:t>
            </w:r>
          </w:p>
        </w:tc>
        <w:tc>
          <w:tcPr>
            <w:tcW w:w="214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8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10.3.2</w:t>
            </w:r>
          </w:p>
        </w:tc>
        <w:tc>
          <w:tcPr>
            <w:tcW w:w="344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高致病性病原微生物菌(毒)种应妥善保存和严格管理</w:t>
            </w:r>
          </w:p>
        </w:tc>
        <w:tc>
          <w:tcPr>
            <w:tcW w:w="78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(194)病原微生物菌(毒)种保存在带锁的冰箱或柜子中，高致病性病原微生物实行双人双锁管理。有病原微生物菌(毒)种保存、实验使用、销毁的记录。</w:t>
            </w:r>
          </w:p>
        </w:tc>
        <w:tc>
          <w:tcPr>
            <w:tcW w:w="214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0" w:type="dxa"/>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10.4</w:t>
            </w:r>
          </w:p>
        </w:tc>
        <w:tc>
          <w:tcPr>
            <w:tcW w:w="13410" w:type="dxa"/>
            <w:gridSpan w:val="3"/>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人员管理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8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10.4.1</w:t>
            </w:r>
          </w:p>
        </w:tc>
        <w:tc>
          <w:tcPr>
            <w:tcW w:w="344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开展病原微生物相关实验和研究的人员经过专业培训</w:t>
            </w:r>
          </w:p>
        </w:tc>
        <w:tc>
          <w:tcPr>
            <w:tcW w:w="782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(195)人员经考核合格，并取得证书。</w:t>
            </w:r>
          </w:p>
        </w:tc>
        <w:tc>
          <w:tcPr>
            <w:tcW w:w="214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8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10.4.2</w:t>
            </w:r>
          </w:p>
        </w:tc>
        <w:tc>
          <w:tcPr>
            <w:tcW w:w="344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为从事高致病性病原微生物的工作人员提供适宜的医学评估</w:t>
            </w:r>
          </w:p>
        </w:tc>
        <w:tc>
          <w:tcPr>
            <w:tcW w:w="78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(196)实施监测和治疗方案，并妥善保存相应的医学记录。有上岗前体检和离岗体 检，长期工作有定期体检。</w:t>
            </w:r>
          </w:p>
        </w:tc>
        <w:tc>
          <w:tcPr>
            <w:tcW w:w="214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8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10.4.3</w:t>
            </w:r>
          </w:p>
        </w:tc>
        <w:tc>
          <w:tcPr>
            <w:tcW w:w="344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制定相应的人员准入制度</w:t>
            </w:r>
          </w:p>
        </w:tc>
        <w:tc>
          <w:tcPr>
            <w:tcW w:w="78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(197)外来人员进入生物安全实验室须经负责人批准，并有相关的教育培训、安全 防控措施。出现感冒发热等症状时，不得进行病原微生物实验。</w:t>
            </w:r>
          </w:p>
        </w:tc>
        <w:tc>
          <w:tcPr>
            <w:tcW w:w="214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8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10.5</w:t>
            </w:r>
          </w:p>
        </w:tc>
        <w:tc>
          <w:tcPr>
            <w:tcW w:w="13410"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操作与管理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0" w:type="dxa"/>
          </w:tcPr>
          <w:p>
            <w:pPr>
              <w:pStyle w:val="7"/>
              <w:spacing w:before="45" w:line="216" w:lineRule="auto"/>
              <w:ind w:left="83"/>
              <w:jc w:val="both"/>
              <w:rPr>
                <w:rFonts w:hint="default"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10.5.1</w:t>
            </w:r>
          </w:p>
        </w:tc>
        <w:tc>
          <w:tcPr>
            <w:tcW w:w="344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制定并采用生物安全手册，有相关</w:t>
            </w:r>
          </w:p>
        </w:tc>
        <w:tc>
          <w:tcPr>
            <w:tcW w:w="78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(198)有从事病原微生物相关实验活动的标准操作规范。</w:t>
            </w:r>
          </w:p>
        </w:tc>
        <w:tc>
          <w:tcPr>
            <w:tcW w:w="214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15" w:type="default"/>
          <w:pgSz w:w="16841" w:h="11912"/>
          <w:pgMar w:top="1012" w:right="1930" w:bottom="1664" w:left="1841" w:header="0" w:footer="1530" w:gutter="0"/>
          <w:cols w:space="720" w:num="1"/>
        </w:sect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bl>
      <w:tblPr>
        <w:tblStyle w:val="6"/>
        <w:tblpPr w:leftFromText="180" w:rightFromText="180" w:vertAnchor="text" w:horzAnchor="page" w:tblpX="1320" w:tblpY="-17"/>
        <w:tblOverlap w:val="never"/>
        <w:tblW w:w="141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3480"/>
        <w:gridCol w:w="7785"/>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780"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480"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85"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30"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34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标准操作规范</w:t>
            </w:r>
          </w:p>
        </w:tc>
        <w:tc>
          <w:tcPr>
            <w:tcW w:w="778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8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10.5.2</w:t>
            </w:r>
          </w:p>
        </w:tc>
        <w:tc>
          <w:tcPr>
            <w:tcW w:w="348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开展相关实验活动的风险评估和制定相应的应急预案</w:t>
            </w:r>
          </w:p>
        </w:tc>
        <w:tc>
          <w:tcPr>
            <w:tcW w:w="778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(199)开展病原微生物的相关实验活动应有风险评估和应急预案，包括病原微生物 及感染材料溢洒和意外事故的书面处置程序。</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7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10.5.3</w:t>
            </w:r>
          </w:p>
        </w:tc>
        <w:tc>
          <w:tcPr>
            <w:tcW w:w="34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实验操作合规，安全防护措施合理</w:t>
            </w:r>
          </w:p>
        </w:tc>
        <w:tc>
          <w:tcPr>
            <w:tcW w:w="778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(200)在合适的生物安全柜中进行实验操作，不得在超净工作台中进行病原微生物 实验。</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(201)安全操作高速离心机，小心防止离心管破损或盖子破裂造成溢洒或气溶胶扩 散。</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(202)有合适的个体防护措施，禁止戴防护手套操作相关实验以外的设施设备。</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80" w:type="dxa"/>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10.6</w:t>
            </w:r>
          </w:p>
        </w:tc>
        <w:tc>
          <w:tcPr>
            <w:tcW w:w="13395" w:type="dxa"/>
            <w:gridSpan w:val="3"/>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实验动物安全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780"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10.6.1</w:t>
            </w:r>
          </w:p>
        </w:tc>
        <w:tc>
          <w:tcPr>
            <w:tcW w:w="3480"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实验动物的购买、饲养、解剖等须符合相关规定</w:t>
            </w:r>
          </w:p>
        </w:tc>
        <w:tc>
          <w:tcPr>
            <w:tcW w:w="778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(203)饲养实验动物的场所应有资质证书，实验动物须从具有资质的单位购买，有 合格证明，用于解剖的实验动物须经过检验检疫合格。</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(204)解剖实验动物时，必须做好个人安全防护。</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(205)定期组织健康检查。</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8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10.6.2</w:t>
            </w:r>
          </w:p>
        </w:tc>
        <w:tc>
          <w:tcPr>
            <w:tcW w:w="348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动物实验按相关规定进行伦理审查，保障动物权益</w:t>
            </w:r>
          </w:p>
        </w:tc>
        <w:tc>
          <w:tcPr>
            <w:tcW w:w="778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(206)学校有伦理审查机构，查看伦理审查记录。</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80" w:type="dxa"/>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10.7</w:t>
            </w:r>
          </w:p>
        </w:tc>
        <w:tc>
          <w:tcPr>
            <w:tcW w:w="13395" w:type="dxa"/>
            <w:gridSpan w:val="3"/>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生物实验废物处置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10.7.1</w:t>
            </w:r>
          </w:p>
        </w:tc>
        <w:tc>
          <w:tcPr>
            <w:tcW w:w="34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生物废弃物的中转和处置规范</w:t>
            </w:r>
          </w:p>
        </w:tc>
        <w:tc>
          <w:tcPr>
            <w:tcW w:w="778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(207)学校与有资质的单位签约处置感染性废物，有交接记录，形成电子或者纸质 台账。</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(208)学校有生物废弃物中转站或收集点，生物废物及时收集转运。</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0" w:hRule="atLeast"/>
        </w:trPr>
        <w:tc>
          <w:tcPr>
            <w:tcW w:w="7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10.7.2</w:t>
            </w:r>
          </w:p>
        </w:tc>
        <w:tc>
          <w:tcPr>
            <w:tcW w:w="348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生物废弃物与其他类别废物分开，并且做好防护和消杀</w:t>
            </w:r>
          </w:p>
        </w:tc>
        <w:tc>
          <w:tcPr>
            <w:tcW w:w="778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(209)生物废物应与化学废物、生活垃圾等分开贮存。</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(210)实验室内配备生物废物垃圾桶(内置生物废物专用塑料袋),并粘贴专用标签标识。</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(211)刀片、移液枪头等尖锐物应使用利器盒或耐扎纸板箱盛放，送储时再装入生 物废物专用塑料袋，贴好标签。</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(212)动物实验结束后，动物尸体及组织应做无害化处理，废物彻底灭菌后方可处 置。</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(213)涉及病原微生物或其他细菌类的生物废物必须进行高温高压灭菌或化学浸泡 处理，然后由有资质的公司进行最终处置。</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(214)高致病性生物材料废物处置实现溯源追踪。</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16" w:type="default"/>
          <w:pgSz w:w="16841" w:h="11912"/>
          <w:pgMar w:top="1012" w:right="1949" w:bottom="1720" w:left="1841" w:header="0" w:footer="1595" w:gutter="0"/>
          <w:cols w:space="720" w:num="1"/>
        </w:sectPr>
      </w:pPr>
    </w:p>
    <w:tbl>
      <w:tblPr>
        <w:tblStyle w:val="6"/>
        <w:tblpPr w:leftFromText="180" w:rightFromText="180" w:vertAnchor="text" w:horzAnchor="page" w:tblpX="1320" w:tblpY="164"/>
        <w:tblOverlap w:val="never"/>
        <w:tblW w:w="140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3422"/>
        <w:gridCol w:w="7721"/>
        <w:gridCol w:w="2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803"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422"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21"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12"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803"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11</w:t>
            </w:r>
          </w:p>
        </w:tc>
        <w:tc>
          <w:tcPr>
            <w:tcW w:w="13255"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辐射安全与核材料管制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803"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11.1</w:t>
            </w:r>
          </w:p>
        </w:tc>
        <w:tc>
          <w:tcPr>
            <w:tcW w:w="13255"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资质与人员要求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11.1.1</w:t>
            </w:r>
          </w:p>
        </w:tc>
        <w:tc>
          <w:tcPr>
            <w:tcW w:w="34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辐射工作单位须取得辐射安全许可证</w:t>
            </w:r>
          </w:p>
        </w:tc>
        <w:tc>
          <w:tcPr>
            <w:tcW w:w="772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(215)按规定在放射性核素种类和用量及射线种类许可范围内开展实验。除已被豁 免管理外，射线装置、放射源或者非密封放射性物质应纳入许可证范畴。</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8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11.1.2</w:t>
            </w:r>
          </w:p>
        </w:tc>
        <w:tc>
          <w:tcPr>
            <w:tcW w:w="3422"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辐射工作人员须经过专门培训，定期参加职业体检</w:t>
            </w:r>
          </w:p>
        </w:tc>
        <w:tc>
          <w:tcPr>
            <w:tcW w:w="772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(216)辐射工作人员具有辐射安全与防护培训合格证书，或者生态环境部辐射安全 与防护考核通过成绩报告单。</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(217)辐射工作人员按时参加放射性职业体检(2年1次),有健康档案。</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(218)辐射工作人员进入实验场所须佩戴个人剂量计，剂量计委托有资质的单位按 时进行剂量监测(3个月1次)。</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11.1.3</w:t>
            </w:r>
          </w:p>
        </w:tc>
        <w:tc>
          <w:tcPr>
            <w:tcW w:w="34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核材料许可证持有单位须建立专职机构或指定专人负责保管核材料，执行国家法律法规要求。有帐目与报告制度，保证帐物相符</w:t>
            </w:r>
          </w:p>
        </w:tc>
        <w:tc>
          <w:tcPr>
            <w:tcW w:w="772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(219)持有核材料数量达到法定要求的单位须取得核材料许可证，有负责机构或指 定专人负责核材料管制工作，核材料衡算和核安保工作执行国家法律法规要求。</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803"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11.2</w:t>
            </w:r>
          </w:p>
        </w:tc>
        <w:tc>
          <w:tcPr>
            <w:tcW w:w="13255"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场所设施与采购运输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11.2.1</w:t>
            </w:r>
          </w:p>
        </w:tc>
        <w:tc>
          <w:tcPr>
            <w:tcW w:w="3422"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辐射设施和场所应设有警示、联锁和报警装置</w:t>
            </w:r>
          </w:p>
        </w:tc>
        <w:tc>
          <w:tcPr>
            <w:tcW w:w="772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(220)放射源储存库应设双人双锁，并有安全报警系统和视频监控系统。</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(221)辐照设施设备和射线装置具有能正常工作的安全联锁装置和报警装置，有明 显的安全警示标识、警戒线和剂量报警仪。</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11.2.2</w:t>
            </w:r>
          </w:p>
        </w:tc>
        <w:tc>
          <w:tcPr>
            <w:tcW w:w="3422"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辐射实验场所每年有合格的实验场所检测报告</w:t>
            </w:r>
          </w:p>
        </w:tc>
        <w:tc>
          <w:tcPr>
            <w:tcW w:w="7721"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(222)查看场所辐射环境监测报告。</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8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11.2.3</w:t>
            </w:r>
          </w:p>
        </w:tc>
        <w:tc>
          <w:tcPr>
            <w:tcW w:w="342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放射性物质的转让，转移和运输应按规定报批</w:t>
            </w:r>
          </w:p>
        </w:tc>
        <w:tc>
          <w:tcPr>
            <w:tcW w:w="7721"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(223)放射源和放射性物质转让、转移有学校及生态环境部门的审批备案材料，转 让、转移前必须先做环境影响评价工作。</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(224)放射性物质的转移和运输有学校及公安部门的审批备案材料。</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(225)放射性物质及射线装置储存和使用场所变更应重新开展环境影响评价。</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803"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11.3</w:t>
            </w:r>
          </w:p>
        </w:tc>
        <w:tc>
          <w:tcPr>
            <w:tcW w:w="13255"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放射性实验安全及废物处置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11.3.1</w:t>
            </w:r>
          </w:p>
        </w:tc>
        <w:tc>
          <w:tcPr>
            <w:tcW w:w="3422"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各类放射性装置有符合国家相关规定的操作规程、安保方案及应急预案，并遵照执行</w:t>
            </w:r>
          </w:p>
        </w:tc>
        <w:tc>
          <w:tcPr>
            <w:tcW w:w="772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(226)重点关注y辐照、电子加速器、射线探伤仪、非密封放射性实验操作、V类以上的密封性放射性实验操作。</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(227)查看辐射事故应急预案及应急演练记录(每年不少于1次演练)。</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03"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11.3.2</w:t>
            </w:r>
          </w:p>
        </w:tc>
        <w:tc>
          <w:tcPr>
            <w:tcW w:w="3422"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放射源及设备报废时有符合国家相关规定的处置方案或回收协议</w:t>
            </w:r>
          </w:p>
        </w:tc>
        <w:tc>
          <w:tcPr>
            <w:tcW w:w="7721"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(228)中、长半衰期核素固液废物有符合国家相关规定的处置方案或回收协议，短 半衰期核素固液废弃物放置10个半衰期经检测达标并经审管部门的批准可以作为普通废物处理，并有处置记录。</w:t>
            </w:r>
          </w:p>
        </w:tc>
        <w:tc>
          <w:tcPr>
            <w:tcW w:w="211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17" w:type="default"/>
          <w:pgSz w:w="16841" w:h="11912"/>
          <w:pgMar w:top="1012" w:right="1930" w:bottom="1691" w:left="1829" w:header="0" w:footer="1566" w:gutter="0"/>
          <w:cols w:space="720" w:num="1"/>
        </w:sectPr>
      </w:pPr>
    </w:p>
    <w:tbl>
      <w:tblPr>
        <w:tblStyle w:val="6"/>
        <w:tblpPr w:leftFromText="180" w:rightFromText="180" w:vertAnchor="text" w:horzAnchor="page" w:tblpX="1335" w:tblpY="39"/>
        <w:tblOverlap w:val="never"/>
        <w:tblW w:w="140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3452"/>
        <w:gridCol w:w="7746"/>
        <w:gridCol w:w="2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92"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452"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46"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08"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9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345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77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(229)报废含有放射源或可产生放射性的设备，须报学校管理部门同意，并按国家 规定进行退役处置。X光管报废时应破坏高压设备，拍照留存。</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(230)涉源实验场所退役，须按国家相关规定执行。</w:t>
            </w:r>
          </w:p>
        </w:tc>
        <w:tc>
          <w:tcPr>
            <w:tcW w:w="210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792"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11.3.3</w:t>
            </w:r>
          </w:p>
        </w:tc>
        <w:tc>
          <w:tcPr>
            <w:tcW w:w="3452" w:type="dxa"/>
            <w:vAlign w:val="center"/>
          </w:tcPr>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放射性废物(源)应严加管理，不得作为普通废物处理，不得擅自处置</w:t>
            </w:r>
          </w:p>
        </w:tc>
        <w:tc>
          <w:tcPr>
            <w:tcW w:w="774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(231)相关实验室应当配置专门的放射性废物收集桶，放射性废液送贮前应进行固 化整备。</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(232)放射性废物应及时送交有资质的放射性废物集中贮存单位贮存。</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(233)排放气态或液态放射性流出物应严格按照环评和地方生态环境部门批准的排 放量和排放方式执行。</w:t>
            </w:r>
          </w:p>
        </w:tc>
        <w:tc>
          <w:tcPr>
            <w:tcW w:w="210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92"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12</w:t>
            </w:r>
          </w:p>
        </w:tc>
        <w:tc>
          <w:tcPr>
            <w:tcW w:w="13306"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机电等安全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92"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12.1</w:t>
            </w:r>
          </w:p>
        </w:tc>
        <w:tc>
          <w:tcPr>
            <w:tcW w:w="13306"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仪器设备常规管理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9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12.1.1</w:t>
            </w:r>
          </w:p>
        </w:tc>
        <w:tc>
          <w:tcPr>
            <w:tcW w:w="345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建立设备台账，设备上有资产标签，有明确的管理人员</w:t>
            </w:r>
          </w:p>
        </w:tc>
        <w:tc>
          <w:tcPr>
            <w:tcW w:w="774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(234)查看电子或纸质台账。</w:t>
            </w:r>
          </w:p>
        </w:tc>
        <w:tc>
          <w:tcPr>
            <w:tcW w:w="210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9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12.1.2</w:t>
            </w:r>
          </w:p>
        </w:tc>
        <w:tc>
          <w:tcPr>
            <w:tcW w:w="345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大型、特种设备的使用须符合相关规定</w:t>
            </w:r>
          </w:p>
        </w:tc>
        <w:tc>
          <w:tcPr>
            <w:tcW w:w="77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(235)大型仪器设备、高功率的设备与电路容量相匹配，有设备运行维护记录，有 安全操作规程或注意事项。</w:t>
            </w:r>
          </w:p>
        </w:tc>
        <w:tc>
          <w:tcPr>
            <w:tcW w:w="210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9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12.1.3</w:t>
            </w:r>
          </w:p>
        </w:tc>
        <w:tc>
          <w:tcPr>
            <w:tcW w:w="3452" w:type="dxa"/>
            <w:vAlign w:val="center"/>
          </w:tcPr>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仪器设备的接地和用电符合相关要求</w:t>
            </w:r>
          </w:p>
        </w:tc>
        <w:tc>
          <w:tcPr>
            <w:tcW w:w="77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(236)仪器设备接地系统应按规范要求，采用铜质材料，接地电阻不高于0.5Q。  (237)电脑、空调、电加热器等不随意开机过夜。对于不能断电的特殊仪器设备， 采取必要的防护措施(如双路供电、不间断电源、监控报警等)。</w:t>
            </w:r>
          </w:p>
        </w:tc>
        <w:tc>
          <w:tcPr>
            <w:tcW w:w="210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79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12.1.4</w:t>
            </w:r>
          </w:p>
        </w:tc>
        <w:tc>
          <w:tcPr>
            <w:tcW w:w="345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特殊设备应配备相应的安全防护措施</w:t>
            </w:r>
          </w:p>
        </w:tc>
        <w:tc>
          <w:tcPr>
            <w:tcW w:w="77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(238)关注高温、高压、高速运动、电磁辐射等特殊设备，对使用者有培训要求， 有安全警示标识和安全警示线(黄色),设备安全防护措施完好。</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(239)非标准设备、自制设备应经安全论证合格后方可使用，须充分考虑安全系数，并有安全防护措施。</w:t>
            </w:r>
          </w:p>
        </w:tc>
        <w:tc>
          <w:tcPr>
            <w:tcW w:w="210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92"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12.2</w:t>
            </w:r>
          </w:p>
        </w:tc>
        <w:tc>
          <w:tcPr>
            <w:tcW w:w="13306"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机械安全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9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12.2.1</w:t>
            </w:r>
          </w:p>
        </w:tc>
        <w:tc>
          <w:tcPr>
            <w:tcW w:w="3452"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机械设备应保持清洁整齐，可靠接地</w:t>
            </w:r>
          </w:p>
        </w:tc>
        <w:tc>
          <w:tcPr>
            <w:tcW w:w="77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(240)机床应保持清洁整齐，严禁在床头、床面、刀架上放置物品。</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(241)机械设备可靠接地，实验结束后，应切断电源，整理好场地并将实验用具等 摆放整齐，及时清理机械设备产生的废渣、废屑。</w:t>
            </w:r>
          </w:p>
        </w:tc>
        <w:tc>
          <w:tcPr>
            <w:tcW w:w="210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792"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12.2.2</w:t>
            </w:r>
          </w:p>
        </w:tc>
        <w:tc>
          <w:tcPr>
            <w:tcW w:w="3452" w:type="dxa"/>
            <w:vAlign w:val="center"/>
          </w:tcPr>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操作机械设备时实验人员应做好个体防护</w:t>
            </w:r>
          </w:p>
        </w:tc>
        <w:tc>
          <w:tcPr>
            <w:tcW w:w="774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(242)个体防护用品要穿戴齐全，如工作服、工作帽、工作鞋、防护眼镜等。操作 冷加工设备时必须穿“三紧式 ”工作服，不能留长发(长发要盘在工作帽内),禁止戴手套。</w:t>
            </w:r>
          </w:p>
          <w:p>
            <w:pPr>
              <w:pStyle w:val="7"/>
              <w:spacing w:before="45" w:line="216" w:lineRule="auto"/>
              <w:ind w:left="83"/>
              <w:jc w:val="both"/>
              <w:rPr>
                <w:rFonts w:hint="default"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(243)进入高速切削机械操作工作场所，应穿好工作服、工作鞋，戴好防护眼镜， 扣紧衣袖口，戴好工作帽(长发学生必须将长发盘在工作帽内),禁止戴手套、长围</w:t>
            </w:r>
          </w:p>
        </w:tc>
        <w:tc>
          <w:tcPr>
            <w:tcW w:w="210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18" w:type="default"/>
          <w:pgSz w:w="16841" w:h="11912"/>
          <w:pgMar w:top="1012" w:right="1889" w:bottom="1544" w:left="1841" w:header="0" w:footer="1409" w:gutter="0"/>
          <w:cols w:space="720" w:num="1"/>
        </w:sectPr>
      </w:pPr>
    </w:p>
    <w:tbl>
      <w:tblPr>
        <w:tblStyle w:val="6"/>
        <w:tblpPr w:leftFromText="180" w:rightFromText="180" w:vertAnchor="text" w:horzAnchor="page" w:tblpX="1365" w:tblpY="149"/>
        <w:tblOverlap w:val="never"/>
        <w:tblW w:w="140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3478"/>
        <w:gridCol w:w="7726"/>
        <w:gridCol w:w="2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765"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478"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26"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09"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6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347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c>
          <w:tcPr>
            <w:tcW w:w="772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巾、领带、手镯等配饰物，禁止穿拖鞋、高跟鞋等。设备运转时严禁用手调整工 件。</w:t>
            </w:r>
          </w:p>
        </w:tc>
        <w:tc>
          <w:tcPr>
            <w:tcW w:w="210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765"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12.2.3</w:t>
            </w:r>
          </w:p>
        </w:tc>
        <w:tc>
          <w:tcPr>
            <w:tcW w:w="3478"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铸锻及热处理实验应满足场地和防护要求</w:t>
            </w:r>
          </w:p>
        </w:tc>
        <w:tc>
          <w:tcPr>
            <w:tcW w:w="772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(244)铸造实验场地宽敞、通道畅通，使用设备前，操作者要按要求穿戴好防护用 品 。</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(245)盐浴炉加热零件必须预先烘干，并用铁丝绑牢，缓慢放入炉中，以防盐液炸 崩烫伤。</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(246)淬火油槽不得有水，油量不能过少，以免发生火灾。</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(247)与铁水接触的一切工具，使用前必须加热，严禁将冷的工具伸入铁水内，以 免引起爆炸。</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(248)锻压设备不得空打或大力敲打过薄锻件，锻造时锻件应达到850℃以上，锻 锤空置时应垫有木块。</w:t>
            </w:r>
          </w:p>
        </w:tc>
        <w:tc>
          <w:tcPr>
            <w:tcW w:w="210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6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12.2.4</w:t>
            </w:r>
          </w:p>
        </w:tc>
        <w:tc>
          <w:tcPr>
            <w:tcW w:w="3478"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高处作业应符合相关操作规程</w:t>
            </w:r>
          </w:p>
        </w:tc>
        <w:tc>
          <w:tcPr>
            <w:tcW w:w="772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(249)在坠落高度基准面2m及以上有可能坠落的高处进行作业，须穿防滑鞋、佩戴安全帽、使用安全带。</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(250)临边作业须在临空一侧设置防护栏杆，有相关安全操作规程。</w:t>
            </w:r>
          </w:p>
        </w:tc>
        <w:tc>
          <w:tcPr>
            <w:tcW w:w="210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65"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12.3</w:t>
            </w:r>
          </w:p>
        </w:tc>
        <w:tc>
          <w:tcPr>
            <w:tcW w:w="13313"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电气安全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9" w:hRule="atLeast"/>
        </w:trPr>
        <w:tc>
          <w:tcPr>
            <w:tcW w:w="765" w:type="dxa"/>
            <w:vAlign w:val="top"/>
          </w:tcPr>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12.3.1</w:t>
            </w:r>
          </w:p>
        </w:tc>
        <w:tc>
          <w:tcPr>
            <w:tcW w:w="3478"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电气设备的使用应符合用电安全规范</w:t>
            </w:r>
          </w:p>
        </w:tc>
        <w:tc>
          <w:tcPr>
            <w:tcW w:w="7726"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(251)各种电气设备及电线应始终保持干燥，防止浸湿，以防短路引起火灾或烧坏 电气设备。</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(252)实验室内的功能间墙面都应设有专用接地母排，并设有多点接地引出端，</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(253)高压、大电流等强电实验室要设定安全距离，按规定设置安全警示牌，安全 信号灯，联动式警铃、门锁，有安全隔离装置或屏蔽遮栏(由金属制成，并可靠接地，高度不低于2m)。</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(254)控制室(控制台)应铺橡胶、绝缘垫等。</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(255)强电实验室禁止存放易燃、易爆、易腐品，保持通风散热。</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(256)应为设备配备残余电流泄放专用的接地系统。</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(257)禁止在有可燃气体泄露隐患的环境中使用电动工具；电烙铁有专门的搁架， 用毕立即切断电源。</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(258)强磁设备应配备与大地相连的金属屏蔽网。</w:t>
            </w:r>
          </w:p>
        </w:tc>
        <w:tc>
          <w:tcPr>
            <w:tcW w:w="210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65"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12.3.2</w:t>
            </w:r>
          </w:p>
        </w:tc>
        <w:tc>
          <w:tcPr>
            <w:tcW w:w="3478" w:type="dxa"/>
            <w:vAlign w:val="center"/>
          </w:tcPr>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操作电气设备应配备合适的防护器具</w:t>
            </w:r>
          </w:p>
        </w:tc>
        <w:tc>
          <w:tcPr>
            <w:tcW w:w="7726"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(259)强电类高电压实验必须两人(含)以上，操作时应戴绝缘手套；防护器具按规定进行周期试验或定期更换；静电场所要保持空气湿润，工作人员要穿戴防静电 服、手套和鞋靴。</w:t>
            </w:r>
          </w:p>
        </w:tc>
        <w:tc>
          <w:tcPr>
            <w:tcW w:w="2109"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sectPr>
          <w:footerReference r:id="rId19" w:type="default"/>
          <w:pgSz w:w="16841" w:h="11912"/>
          <w:pgMar w:top="1012" w:right="1920" w:bottom="1676" w:left="1829" w:header="0" w:footer="1541" w:gutter="0"/>
          <w:cols w:space="720" w:num="1"/>
        </w:sectPr>
      </w:pPr>
    </w:p>
    <w:tbl>
      <w:tblPr>
        <w:tblStyle w:val="6"/>
        <w:tblpPr w:leftFromText="180" w:rightFromText="180" w:vertAnchor="text" w:horzAnchor="page" w:tblpX="1365" w:tblpY="109"/>
        <w:tblOverlap w:val="never"/>
        <w:tblW w:w="141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3510"/>
        <w:gridCol w:w="7725"/>
        <w:gridCol w:w="21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50"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510"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25"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15"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75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12.4</w:t>
            </w:r>
          </w:p>
        </w:tc>
        <w:tc>
          <w:tcPr>
            <w:tcW w:w="13350"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激光安全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5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12.4.1</w:t>
            </w:r>
          </w:p>
        </w:tc>
        <w:tc>
          <w:tcPr>
            <w:tcW w:w="351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激光实验室配有完备的安全屏蔽设施</w:t>
            </w:r>
          </w:p>
        </w:tc>
        <w:tc>
          <w:tcPr>
            <w:tcW w:w="77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(260)功率较大的激光器有互锁装置、防护罩，激光照射方向不会对他人造成伤害，防止激光发射口及反射镜上扬。</w:t>
            </w:r>
          </w:p>
        </w:tc>
        <w:tc>
          <w:tcPr>
            <w:tcW w:w="21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12.4.2</w:t>
            </w:r>
          </w:p>
        </w:tc>
        <w:tc>
          <w:tcPr>
            <w:tcW w:w="351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进行激光实验时须佩戴合适的个体防护用具</w:t>
            </w:r>
          </w:p>
        </w:tc>
        <w:tc>
          <w:tcPr>
            <w:tcW w:w="77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(261)操作人员佩戴防护眼镜等防护用品、不戴手表等能反光的物品，禁止直视激 光束和它的反向光束，禁止对激光器件做任何目视准直操作，禁止用眼睛检查激光 器故障，检查激光器必须在断电情况下进行。</w:t>
            </w:r>
          </w:p>
        </w:tc>
        <w:tc>
          <w:tcPr>
            <w:tcW w:w="21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12.4.3</w:t>
            </w:r>
          </w:p>
        </w:tc>
        <w:tc>
          <w:tcPr>
            <w:tcW w:w="351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警告标识</w:t>
            </w:r>
          </w:p>
        </w:tc>
        <w:tc>
          <w:tcPr>
            <w:tcW w:w="77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(262)所有激光区域内张贴警告标识。</w:t>
            </w:r>
          </w:p>
        </w:tc>
        <w:tc>
          <w:tcPr>
            <w:tcW w:w="21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5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12.5</w:t>
            </w:r>
          </w:p>
        </w:tc>
        <w:tc>
          <w:tcPr>
            <w:tcW w:w="13350"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粉尘安全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12.5.1</w:t>
            </w:r>
          </w:p>
        </w:tc>
        <w:tc>
          <w:tcPr>
            <w:tcW w:w="351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粉尘爆炸危险场所，应选用防爆型电气设备</w:t>
            </w:r>
          </w:p>
        </w:tc>
        <w:tc>
          <w:tcPr>
            <w:tcW w:w="77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(263)防爆灯、防爆电气开关的导线敷设应选用镀锌管，必须达到整体防爆要求。</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(264)粉尘加工要有除尘装置，除尘器符合防静电安全要求，除尘设施应有阻爆， 隔爆、泄爆装置，使用工具具有防爆功能或不产生火花。</w:t>
            </w:r>
          </w:p>
        </w:tc>
        <w:tc>
          <w:tcPr>
            <w:tcW w:w="21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12.5.2</w:t>
            </w:r>
          </w:p>
        </w:tc>
        <w:tc>
          <w:tcPr>
            <w:tcW w:w="351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进入产生粉尘的实验场所，须穿戴合适的个体防护用具</w:t>
            </w:r>
          </w:p>
        </w:tc>
        <w:tc>
          <w:tcPr>
            <w:tcW w:w="77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(265)进入粉尘爆炸危险场所应穿防静电服装，禁止穿化纤材料制作的衣服，工作 时必须佩戴防尘口罩和护耳器。</w:t>
            </w:r>
          </w:p>
        </w:tc>
        <w:tc>
          <w:tcPr>
            <w:tcW w:w="21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12.5.3</w:t>
            </w:r>
          </w:p>
        </w:tc>
        <w:tc>
          <w:tcPr>
            <w:tcW w:w="351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确保实验室粉尘浓度在爆炸限以下，并配备灭火装置</w:t>
            </w:r>
          </w:p>
        </w:tc>
        <w:tc>
          <w:tcPr>
            <w:tcW w:w="772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(266)粉尘浓度较高的场所，适当配备加湿装置，并配备合适的灭火装置。</w:t>
            </w:r>
          </w:p>
        </w:tc>
        <w:tc>
          <w:tcPr>
            <w:tcW w:w="21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5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13</w:t>
            </w:r>
          </w:p>
        </w:tc>
        <w:tc>
          <w:tcPr>
            <w:tcW w:w="13350" w:type="dxa"/>
            <w:gridSpan w:val="3"/>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特种设备与常规冷热设备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75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13.1</w:t>
            </w:r>
          </w:p>
        </w:tc>
        <w:tc>
          <w:tcPr>
            <w:tcW w:w="13350" w:type="dxa"/>
            <w:gridSpan w:val="3"/>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起重类设备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13.1.1</w:t>
            </w:r>
          </w:p>
        </w:tc>
        <w:tc>
          <w:tcPr>
            <w:tcW w:w="351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达到《特种设备目录》中起重机械指标的起重设备须取得特种设备使用登记证</w:t>
            </w:r>
          </w:p>
        </w:tc>
        <w:tc>
          <w:tcPr>
            <w:tcW w:w="77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(267)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1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750"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13.1.2</w:t>
            </w:r>
          </w:p>
        </w:tc>
        <w:tc>
          <w:tcPr>
            <w:tcW w:w="3510"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起重机械作业人员、检验单位须有相关资质</w:t>
            </w:r>
          </w:p>
        </w:tc>
        <w:tc>
          <w:tcPr>
            <w:tcW w:w="77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(268)起重机指挥、起重机司机须取得相应的特种设备安全管理和作业人员证，持 证上岗，并每4年复审一次。</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(269)委托有资质的单位进行定期检验，并将定期检验合格证置于特种设备的显著 位置。</w:t>
            </w:r>
          </w:p>
        </w:tc>
        <w:tc>
          <w:tcPr>
            <w:tcW w:w="21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750"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13.1.3</w:t>
            </w:r>
          </w:p>
        </w:tc>
        <w:tc>
          <w:tcPr>
            <w:tcW w:w="3510"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起重机械须定期保养，设置警示标识，安装防护设施</w:t>
            </w:r>
          </w:p>
        </w:tc>
        <w:tc>
          <w:tcPr>
            <w:tcW w:w="77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(270)在用起重机械至少每月进行1次日常维护保养和自行检查，并做记录。</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(271)制定安全操作规程，并在周边醒目位置张贴警示标识，有必要的安全距离和 防护措施。</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(272)起重设备声光报警正常，室内起重设备应标有运行通道。</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(273)废弃不用的起重机械应及时拆除。</w:t>
            </w:r>
          </w:p>
        </w:tc>
        <w:tc>
          <w:tcPr>
            <w:tcW w:w="211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20" w:type="default"/>
          <w:pgSz w:w="16841" w:h="11912"/>
          <w:pgMar w:top="1012" w:right="1932" w:bottom="1686" w:left="1848" w:header="0" w:footer="1551" w:gutter="0"/>
          <w:cols w:space="720" w:num="1"/>
        </w:sectPr>
      </w:pPr>
    </w:p>
    <w:tbl>
      <w:tblPr>
        <w:tblStyle w:val="6"/>
        <w:tblpPr w:leftFromText="180" w:rightFromText="180" w:vertAnchor="text" w:horzAnchor="page" w:tblpX="1380" w:tblpY="66"/>
        <w:tblOverlap w:val="never"/>
        <w:tblW w:w="141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3495"/>
        <w:gridCol w:w="7725"/>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0"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495"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25"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30"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13.2</w:t>
            </w:r>
          </w:p>
        </w:tc>
        <w:tc>
          <w:tcPr>
            <w:tcW w:w="13350"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压力容器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2"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13.2.1</w:t>
            </w:r>
          </w:p>
        </w:tc>
        <w:tc>
          <w:tcPr>
            <w:tcW w:w="349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压力容器使用登记、相关人员资格</w:t>
            </w:r>
          </w:p>
        </w:tc>
        <w:tc>
          <w:tcPr>
            <w:tcW w:w="772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(274)盛装气体或者液体，承载一定压力的密闭设备，其范围规定为最高工作压力 大于或者等于0.1MPa(表压)的气体、液化气体和最高工作温度高于或者等于标准  沸点的液体、容积大于或者等于30L且内直径(非圆形截面指截面内边界最大几何  尺寸)大于或者等于150mm的固定式容器和移动式容器， 以及氧舱，须取得特种设备使用登记证。设备铭牌上标明为简单压力容器的无须办理。 (气瓶的安全检查 要点见9.6“实验室气体管理”)。</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(275)快开门式压力容器操作人员、移动式压力容器充装人员、氧舱维护保养人员，特种设备安全管理员应取得相应的特种设备安全管理和作业人员证，持证上岗，并每4年复审1次。</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13.2.2</w:t>
            </w:r>
          </w:p>
        </w:tc>
        <w:tc>
          <w:tcPr>
            <w:tcW w:w="349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压力容器定期检验</w:t>
            </w:r>
          </w:p>
        </w:tc>
        <w:tc>
          <w:tcPr>
            <w:tcW w:w="772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(276)委托有资质的单位进行定期检验，并将定期检验合格证置于特种设备的显著 位置。</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(277)安全阀或压力表等附件须委托有资质的单位定期校验或检定。</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0"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13.2.3</w:t>
            </w:r>
          </w:p>
        </w:tc>
        <w:tc>
          <w:tcPr>
            <w:tcW w:w="349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压力容器使用管理</w:t>
            </w:r>
          </w:p>
        </w:tc>
        <w:tc>
          <w:tcPr>
            <w:tcW w:w="772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(278)设置安全管理机构，配备安全管理负责人、安全管理人员和作业人员，建立 各项安全管理制度，制定操作规程。</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(279)实验室应经常巡回检查，发现异常及时处理，并做记录。</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(280)建立压力容器自行检查制度，对压力容器本体及其安全附件、装卸附件安全 保护装置、测量调控装置、附属仪器仪表进行经常性维护保养，每月至少进行1次 月度检查，每年至少进行1次年度检查，并做记录。</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(281)简单压力容器也应建立设备安全管理档案。</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(282)盛装可燃、爆炸性气体的压力容器，其电气设施应防爆，电器开关和熔断器 都应设置在明显位置。室外放置的大型气罐应注意防雷。</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50"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13.2.4</w:t>
            </w:r>
          </w:p>
        </w:tc>
        <w:tc>
          <w:tcPr>
            <w:tcW w:w="349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压力容器的使用年限及报废</w:t>
            </w:r>
          </w:p>
        </w:tc>
        <w:tc>
          <w:tcPr>
            <w:tcW w:w="772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(283)达到设计使用年限的压力容器应及时报废(未规定设计使用年限，但是使用 超过20年的压力容器视为达到使用年限),如若超期使用必须进行检验和安全评估。</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0"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13.3</w:t>
            </w:r>
          </w:p>
        </w:tc>
        <w:tc>
          <w:tcPr>
            <w:tcW w:w="13350" w:type="dxa"/>
            <w:gridSpan w:val="3"/>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场(厂)内专用机动车辆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13.3.1</w:t>
            </w:r>
          </w:p>
        </w:tc>
        <w:tc>
          <w:tcPr>
            <w:tcW w:w="349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场(厂)内专用机动车辆须取得特种设备使用登记证</w:t>
            </w:r>
          </w:p>
        </w:tc>
        <w:tc>
          <w:tcPr>
            <w:tcW w:w="772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(284)校园内使用的专用机动车辆须取得特种设备使用登记证。</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75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13.3.2</w:t>
            </w:r>
          </w:p>
        </w:tc>
        <w:tc>
          <w:tcPr>
            <w:tcW w:w="349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作业人员取得相应的特种设备安全管理和作业人员证，持证上岗</w:t>
            </w:r>
          </w:p>
        </w:tc>
        <w:tc>
          <w:tcPr>
            <w:tcW w:w="772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(285)作业人员取得相应的特种设备安全管理和作业人员证，证书在有效期内。</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before="45" w:line="216" w:lineRule="auto"/>
        <w:jc w:val="both"/>
        <w:rPr>
          <w:rFonts w:hint="eastAsia" w:ascii="仿宋" w:hAnsi="仿宋" w:eastAsia="仿宋" w:cs="宋体"/>
          <w:snapToGrid w:val="0"/>
          <w:color w:val="000000"/>
          <w:spacing w:val="1"/>
          <w:sz w:val="21"/>
          <w:szCs w:val="21"/>
          <w:lang w:val="en-US" w:eastAsia="zh-CN" w:bidi="ar-SA"/>
        </w:rPr>
        <w:sectPr>
          <w:footerReference r:id="rId21" w:type="default"/>
          <w:pgSz w:w="16841" w:h="11912"/>
          <w:pgMar w:top="1012" w:right="1920" w:bottom="1524" w:left="1829" w:header="0" w:footer="1390" w:gutter="0"/>
          <w:cols w:space="720" w:num="1"/>
        </w:sectPr>
      </w:pPr>
    </w:p>
    <w:tbl>
      <w:tblPr>
        <w:tblStyle w:val="6"/>
        <w:tblpPr w:leftFromText="180" w:rightFromText="180" w:vertAnchor="text" w:horzAnchor="page" w:tblpX="1379" w:tblpY="180"/>
        <w:tblOverlap w:val="never"/>
        <w:tblW w:w="141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3465"/>
        <w:gridCol w:w="7755"/>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5" w:type="dxa"/>
            <w:vAlign w:val="top"/>
          </w:tcPr>
          <w:p>
            <w:pPr>
              <w:pStyle w:val="7"/>
              <w:spacing w:before="36" w:line="223" w:lineRule="auto"/>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序号</w:t>
            </w:r>
          </w:p>
        </w:tc>
        <w:tc>
          <w:tcPr>
            <w:tcW w:w="3465" w:type="dxa"/>
            <w:vAlign w:val="top"/>
          </w:tcPr>
          <w:p>
            <w:pPr>
              <w:pStyle w:val="7"/>
              <w:spacing w:before="36" w:line="223" w:lineRule="auto"/>
              <w:ind w:left="41"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10"/>
                <w:sz w:val="21"/>
                <w:szCs w:val="21"/>
              </w:rPr>
              <w:t>检查项目</w:t>
            </w:r>
          </w:p>
        </w:tc>
        <w:tc>
          <w:tcPr>
            <w:tcW w:w="7755" w:type="dxa"/>
            <w:vAlign w:val="top"/>
          </w:tcPr>
          <w:p>
            <w:pPr>
              <w:pStyle w:val="7"/>
              <w:spacing w:before="36" w:line="223" w:lineRule="auto"/>
              <w:ind w:left="75"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4"/>
                <w:sz w:val="21"/>
                <w:szCs w:val="21"/>
              </w:rPr>
              <w:t>检查要点</w:t>
            </w:r>
          </w:p>
        </w:tc>
        <w:tc>
          <w:tcPr>
            <w:tcW w:w="2130" w:type="dxa"/>
            <w:vAlign w:val="top"/>
          </w:tcPr>
          <w:p>
            <w:pPr>
              <w:pStyle w:val="7"/>
              <w:spacing w:before="36" w:line="223" w:lineRule="auto"/>
              <w:ind w:left="43" w:leftChars="0"/>
              <w:rPr>
                <w:rFonts w:hint="eastAsia" w:ascii="黑体" w:hAnsi="黑体" w:eastAsia="黑体" w:cs="黑体"/>
                <w:snapToGrid w:val="0"/>
                <w:color w:val="000000"/>
                <w:sz w:val="21"/>
                <w:szCs w:val="21"/>
                <w:lang w:val="en-US" w:eastAsia="zh-CN" w:bidi="ar-SA"/>
              </w:rPr>
            </w:pPr>
            <w:r>
              <w:rPr>
                <w:rFonts w:hint="eastAsia" w:ascii="黑体" w:hAnsi="黑体" w:eastAsia="黑体" w:cs="黑体"/>
                <w:b/>
                <w:bCs/>
                <w:spacing w:val="3"/>
                <w:sz w:val="21"/>
                <w:szCs w:val="21"/>
              </w:rPr>
              <w:t>情况记录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6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13.3.3</w:t>
            </w:r>
          </w:p>
        </w:tc>
        <w:tc>
          <w:tcPr>
            <w:tcW w:w="346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委托有资质的单位进行定期检验</w:t>
            </w:r>
          </w:p>
        </w:tc>
        <w:tc>
          <w:tcPr>
            <w:tcW w:w="775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(286)合格证在有效期内。</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65" w:type="dxa"/>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13.4</w:t>
            </w:r>
          </w:p>
        </w:tc>
        <w:tc>
          <w:tcPr>
            <w:tcW w:w="13350" w:type="dxa"/>
            <w:gridSpan w:val="3"/>
            <w:vAlign w:val="center"/>
          </w:tcPr>
          <w:p>
            <w:pPr>
              <w:pStyle w:val="7"/>
              <w:spacing w:before="45" w:line="216" w:lineRule="auto"/>
              <w:ind w:left="83"/>
              <w:jc w:val="both"/>
              <w:rPr>
                <w:rFonts w:hint="eastAsia" w:ascii="仿宋" w:hAnsi="仿宋" w:eastAsia="仿宋" w:cs="宋体"/>
                <w:b/>
                <w:bCs/>
                <w:snapToGrid w:val="0"/>
                <w:color w:val="000000"/>
                <w:spacing w:val="1"/>
                <w:sz w:val="21"/>
                <w:szCs w:val="21"/>
                <w:lang w:val="en-US" w:eastAsia="zh-CN" w:bidi="ar-SA"/>
              </w:rPr>
            </w:pPr>
            <w:r>
              <w:rPr>
                <w:rFonts w:hint="eastAsia" w:ascii="仿宋" w:hAnsi="仿宋" w:eastAsia="仿宋" w:cs="宋体"/>
                <w:b/>
                <w:bCs/>
                <w:snapToGrid w:val="0"/>
                <w:color w:val="000000"/>
                <w:spacing w:val="1"/>
                <w:sz w:val="21"/>
                <w:szCs w:val="21"/>
                <w:lang w:val="en-US" w:eastAsia="zh-CN" w:bidi="ar-SA"/>
              </w:rPr>
              <w:t>加热及制冷装置管理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6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13.4.1</w:t>
            </w:r>
          </w:p>
        </w:tc>
        <w:tc>
          <w:tcPr>
            <w:tcW w:w="346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贮存危险化学品的冰箱满足防爆要求</w:t>
            </w:r>
          </w:p>
        </w:tc>
        <w:tc>
          <w:tcPr>
            <w:tcW w:w="775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(287)贮存危险化学品的冰箱应为防爆冰箱或经过防爆改造的冰箱，并在冰箱门上注明是否防爆。</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65"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13.4.2</w:t>
            </w:r>
          </w:p>
        </w:tc>
        <w:tc>
          <w:tcPr>
            <w:tcW w:w="346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冰箱内存放的物品须标识明确，试剂必须可靠密封</w:t>
            </w:r>
          </w:p>
        </w:tc>
        <w:tc>
          <w:tcPr>
            <w:tcW w:w="775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(288)标识至少包括：名称、使用人、日期等，并经常清理。</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(289)实验室冰箱中试剂瓶螺口拧紧，无开口容器，不得放置非实验用食品、药品。超低温冰箱门上有储物分区标识，置于走廊等区域的超低温冰箱须上锁。</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0" w:hRule="atLeast"/>
        </w:trPr>
        <w:tc>
          <w:tcPr>
            <w:tcW w:w="765"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13.4.3</w:t>
            </w:r>
          </w:p>
        </w:tc>
        <w:tc>
          <w:tcPr>
            <w:tcW w:w="3465" w:type="dxa"/>
            <w:vAlign w:val="top"/>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冰箱、烘箱、电阻炉的使用满足使用期间和空间等要求</w:t>
            </w:r>
          </w:p>
        </w:tc>
        <w:tc>
          <w:tcPr>
            <w:tcW w:w="775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(290)冰箱不超期使用(一般使用期限控制为10年),如超期使用须经审批，</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(291)冰箱周围留出足够空间，周围不堆放杂物，不影响散热。</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(292)烘箱、电阻炉不超期使用(一般使用期限控制为12年),如超期使用须经 审批。</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(293)加热设备应放置在通风干燥处，不直接放置在木桌、木板等易燃物品上，周围有一定的散热空间，设备旁不能放置易燃易爆化学品、气瓶、冰箱、杂物等，应远离配电箱、插座、接线板等设备。</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765" w:type="dxa"/>
            <w:vAlign w:val="top"/>
          </w:tcPr>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13.4.4</w:t>
            </w:r>
          </w:p>
        </w:tc>
        <w:tc>
          <w:tcPr>
            <w:tcW w:w="346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烘箱、电阻炉等加热设备须制定安全操作规程</w:t>
            </w:r>
          </w:p>
        </w:tc>
        <w:tc>
          <w:tcPr>
            <w:tcW w:w="775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(294)加热设备周边醒目位置张贴高温警示标志，并有必要的防护措施，张贴有安全操作规程、警示标志。</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(295)烘箱等加热设备内不准烘烤易燃易爆试剂及易燃物品。</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(296)不得使用塑料筐等易燃容器盛放实验物品在烘箱等加热设备内烘烤。</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(297)烘箱使用完毕，清理物品、切断电源，确认其冷却至安全温度后方能离开。</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(298)使用电阻炉等明火设备时有人值守。</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(299)使用加热设备时，温度较高的实验须有人值守或有实时监控措施。</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76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13.4.5</w:t>
            </w:r>
          </w:p>
        </w:tc>
        <w:tc>
          <w:tcPr>
            <w:tcW w:w="346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使用明火电炉或者电吹风须有安全防范举措</w:t>
            </w:r>
          </w:p>
        </w:tc>
        <w:tc>
          <w:tcPr>
            <w:tcW w:w="7755" w:type="dxa"/>
            <w:vAlign w:val="center"/>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(300)涉及化学品的实验室不使用明火电炉。如必须使用，须有安全防范措施。</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(301)不使用明火电炉加热易燃易爆试剂。</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(302)明火电炉、电吹风、电热枪等用毕，须及时拔除电源插头。</w:t>
            </w:r>
          </w:p>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r>
              <w:rPr>
                <w:rFonts w:hint="eastAsia" w:ascii="仿宋" w:hAnsi="仿宋" w:eastAsia="仿宋" w:cs="宋体"/>
                <w:snapToGrid w:val="0"/>
                <w:color w:val="000000"/>
                <w:spacing w:val="1"/>
                <w:sz w:val="21"/>
                <w:szCs w:val="21"/>
                <w:lang w:val="en-US" w:eastAsia="zh-CN" w:bidi="ar-SA"/>
              </w:rPr>
              <w:t>(303)不可用纸质、木质等材料自制红外灯烘箱。</w:t>
            </w:r>
          </w:p>
        </w:tc>
        <w:tc>
          <w:tcPr>
            <w:tcW w:w="2130" w:type="dxa"/>
          </w:tcPr>
          <w:p>
            <w:pPr>
              <w:pStyle w:val="7"/>
              <w:spacing w:before="45" w:line="216" w:lineRule="auto"/>
              <w:ind w:left="83"/>
              <w:jc w:val="both"/>
              <w:rPr>
                <w:rFonts w:hint="eastAsia" w:ascii="仿宋" w:hAnsi="仿宋" w:eastAsia="仿宋" w:cs="宋体"/>
                <w:snapToGrid w:val="0"/>
                <w:color w:val="000000"/>
                <w:spacing w:val="1"/>
                <w:sz w:val="21"/>
                <w:szCs w:val="21"/>
                <w:lang w:val="en-US" w:eastAsia="zh-CN" w:bidi="ar-SA"/>
              </w:rPr>
            </w:pPr>
          </w:p>
        </w:tc>
      </w:tr>
    </w:tbl>
    <w:p>
      <w:pPr>
        <w:pStyle w:val="7"/>
        <w:spacing w:line="240" w:lineRule="auto"/>
        <w:jc w:val="both"/>
        <w:rPr>
          <w:rFonts w:hint="eastAsia" w:ascii="仿宋" w:hAnsi="仿宋" w:eastAsia="仿宋" w:cs="宋体"/>
          <w:snapToGrid w:val="0"/>
          <w:color w:val="000000"/>
          <w:spacing w:val="1"/>
          <w:sz w:val="21"/>
          <w:szCs w:val="21"/>
          <w:lang w:val="en-US" w:eastAsia="zh-CN" w:bidi="ar-SA"/>
        </w:rPr>
      </w:pPr>
    </w:p>
    <w:sectPr>
      <w:footerReference r:id="rId22" w:type="default"/>
      <w:pgSz w:w="16841" w:h="11912"/>
      <w:pgMar w:top="1012" w:right="1889" w:bottom="1664" w:left="1829" w:header="0" w:footer="153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53"/>
      <w:rPr>
        <w:rFonts w:ascii="宋体" w:hAnsi="宋体" w:eastAsia="宋体" w:cs="宋体"/>
        <w:sz w:val="13"/>
        <w:szCs w:val="13"/>
      </w:rPr>
    </w:pPr>
    <w:r>
      <w:rPr>
        <w:rFonts w:ascii="宋体" w:hAnsi="宋体" w:eastAsia="宋体" w:cs="宋体"/>
        <w:sz w:val="13"/>
        <w:szCs w:val="13"/>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455"/>
      <w:rPr>
        <w:rFonts w:ascii="宋体" w:hAnsi="宋体" w:eastAsia="宋体" w:cs="宋体"/>
        <w:sz w:val="13"/>
        <w:szCs w:val="13"/>
      </w:rPr>
    </w:pPr>
    <w:r>
      <w:rPr>
        <w:rFonts w:ascii="宋体" w:hAnsi="宋体" w:eastAsia="宋体" w:cs="宋体"/>
        <w:spacing w:val="-3"/>
        <w:sz w:val="13"/>
        <w:szCs w:val="13"/>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493"/>
      <w:rPr>
        <w:rFonts w:ascii="宋体" w:hAnsi="宋体" w:eastAsia="宋体" w:cs="宋体"/>
        <w:sz w:val="13"/>
        <w:szCs w:val="13"/>
      </w:rPr>
    </w:pPr>
    <w:r>
      <w:rPr>
        <w:rFonts w:ascii="宋体" w:hAnsi="宋体" w:eastAsia="宋体" w:cs="宋体"/>
        <w:spacing w:val="-3"/>
        <w:sz w:val="13"/>
        <w:szCs w:val="13"/>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493"/>
      <w:rPr>
        <w:rFonts w:ascii="宋体" w:hAnsi="宋体" w:eastAsia="宋体" w:cs="宋体"/>
        <w:sz w:val="13"/>
        <w:szCs w:val="13"/>
      </w:rPr>
    </w:pPr>
    <w:r>
      <w:rPr>
        <w:rFonts w:ascii="宋体" w:hAnsi="宋体" w:eastAsia="宋体" w:cs="宋体"/>
        <w:spacing w:val="-3"/>
        <w:sz w:val="13"/>
        <w:szCs w:val="13"/>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473"/>
      <w:rPr>
        <w:rFonts w:ascii="宋体" w:hAnsi="宋体" w:eastAsia="宋体" w:cs="宋体"/>
        <w:sz w:val="12"/>
        <w:szCs w:val="12"/>
      </w:rPr>
    </w:pPr>
    <w:r>
      <w:rPr>
        <w:rFonts w:ascii="宋体" w:hAnsi="宋体" w:eastAsia="宋体" w:cs="宋体"/>
        <w:spacing w:val="-3"/>
        <w:sz w:val="12"/>
        <w:szCs w:val="12"/>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495"/>
      <w:rPr>
        <w:rFonts w:ascii="宋体" w:hAnsi="宋体" w:eastAsia="宋体" w:cs="宋体"/>
        <w:sz w:val="12"/>
        <w:szCs w:val="12"/>
      </w:rPr>
    </w:pPr>
    <w:r>
      <w:rPr>
        <w:rFonts w:ascii="宋体" w:hAnsi="宋体" w:eastAsia="宋体" w:cs="宋体"/>
        <w:spacing w:val="-3"/>
        <w:sz w:val="12"/>
        <w:szCs w:val="12"/>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05"/>
      <w:rPr>
        <w:rFonts w:ascii="宋体" w:hAnsi="宋体" w:eastAsia="宋体" w:cs="宋体"/>
        <w:sz w:val="13"/>
        <w:szCs w:val="13"/>
      </w:rPr>
    </w:pPr>
    <w:r>
      <w:rPr>
        <w:rFonts w:ascii="宋体" w:hAnsi="宋体" w:eastAsia="宋体" w:cs="宋体"/>
        <w:spacing w:val="-3"/>
        <w:sz w:val="13"/>
        <w:szCs w:val="13"/>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05"/>
      <w:rPr>
        <w:rFonts w:ascii="宋体" w:hAnsi="宋体" w:eastAsia="宋体" w:cs="宋体"/>
        <w:sz w:val="13"/>
        <w:szCs w:val="13"/>
      </w:rPr>
    </w:pPr>
    <w:r>
      <w:rPr>
        <w:rFonts w:ascii="宋体" w:hAnsi="宋体" w:eastAsia="宋体" w:cs="宋体"/>
        <w:spacing w:val="-3"/>
        <w:sz w:val="13"/>
        <w:szCs w:val="13"/>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465"/>
      <w:rPr>
        <w:rFonts w:ascii="宋体" w:hAnsi="宋体" w:eastAsia="宋体" w:cs="宋体"/>
        <w:sz w:val="13"/>
        <w:szCs w:val="13"/>
      </w:rPr>
    </w:pPr>
    <w:r>
      <w:rPr>
        <w:rFonts w:ascii="宋体" w:hAnsi="宋体" w:eastAsia="宋体" w:cs="宋体"/>
        <w:spacing w:val="-3"/>
        <w:sz w:val="13"/>
        <w:szCs w:val="13"/>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475"/>
      <w:rPr>
        <w:rFonts w:ascii="宋体" w:hAnsi="宋体" w:eastAsia="宋体" w:cs="宋体"/>
        <w:sz w:val="13"/>
        <w:szCs w:val="13"/>
      </w:rPr>
    </w:pPr>
    <w:r>
      <w:rPr>
        <w:rFonts w:ascii="宋体" w:hAnsi="宋体" w:eastAsia="宋体" w:cs="宋体"/>
        <w:spacing w:val="-1"/>
        <w:sz w:val="13"/>
        <w:szCs w:val="13"/>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545"/>
      <w:rPr>
        <w:rFonts w:ascii="宋体" w:hAnsi="宋体" w:eastAsia="宋体" w:cs="宋体"/>
        <w:sz w:val="13"/>
        <w:szCs w:val="13"/>
      </w:rPr>
    </w:pPr>
    <w:r>
      <w:rPr>
        <w:rFonts w:ascii="宋体" w:hAnsi="宋体" w:eastAsia="宋体" w:cs="宋体"/>
        <w:sz w:val="13"/>
        <w:szCs w:val="13"/>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487"/>
      <w:rPr>
        <w:rFonts w:ascii="宋体" w:hAnsi="宋体" w:eastAsia="宋体" w:cs="宋体"/>
        <w:sz w:val="13"/>
        <w:szCs w:val="13"/>
      </w:rPr>
    </w:pPr>
    <w:r>
      <w:rPr>
        <w:rFonts w:ascii="宋体" w:hAnsi="宋体" w:eastAsia="宋体" w:cs="宋体"/>
        <w:spacing w:val="-1"/>
        <w:sz w:val="13"/>
        <w:szCs w:val="13"/>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558"/>
      <w:rPr>
        <w:rFonts w:ascii="宋体" w:hAnsi="宋体" w:eastAsia="宋体" w:cs="宋体"/>
        <w:sz w:val="13"/>
        <w:szCs w:val="13"/>
      </w:rPr>
    </w:pPr>
    <w:r>
      <w:rPr>
        <w:rFonts w:ascii="宋体" w:hAnsi="宋体" w:eastAsia="宋体" w:cs="宋体"/>
        <w:sz w:val="13"/>
        <w:szCs w:val="13"/>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504"/>
      <w:rPr>
        <w:rFonts w:ascii="宋体" w:hAnsi="宋体" w:eastAsia="宋体" w:cs="宋体"/>
        <w:sz w:val="12"/>
        <w:szCs w:val="12"/>
      </w:rPr>
    </w:pPr>
    <w:r>
      <w:rPr>
        <w:rFonts w:ascii="宋体" w:hAnsi="宋体" w:eastAsia="宋体" w:cs="宋体"/>
        <w:sz w:val="12"/>
        <w:szCs w:val="12"/>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507"/>
      <w:rPr>
        <w:rFonts w:ascii="宋体" w:hAnsi="宋体" w:eastAsia="宋体" w:cs="宋体"/>
        <w:sz w:val="13"/>
        <w:szCs w:val="13"/>
      </w:rPr>
    </w:pPr>
    <w:r>
      <w:rPr>
        <w:rFonts w:ascii="宋体" w:hAnsi="宋体" w:eastAsia="宋体" w:cs="宋体"/>
        <w:sz w:val="13"/>
        <w:szCs w:val="13"/>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496"/>
      <w:rPr>
        <w:rFonts w:ascii="宋体" w:hAnsi="宋体" w:eastAsia="宋体" w:cs="宋体"/>
        <w:sz w:val="12"/>
        <w:szCs w:val="12"/>
      </w:rPr>
    </w:pPr>
    <w:r>
      <w:rPr>
        <w:rFonts w:ascii="宋体" w:hAnsi="宋体" w:eastAsia="宋体" w:cs="宋体"/>
        <w:sz w:val="12"/>
        <w:szCs w:val="12"/>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537"/>
      <w:rPr>
        <w:rFonts w:ascii="宋体" w:hAnsi="宋体" w:eastAsia="宋体" w:cs="宋体"/>
        <w:sz w:val="13"/>
        <w:szCs w:val="13"/>
      </w:rPr>
    </w:pPr>
    <w:r>
      <w:rPr>
        <w:rFonts w:ascii="宋体" w:hAnsi="宋体" w:eastAsia="宋体" w:cs="宋体"/>
        <w:sz w:val="13"/>
        <w:szCs w:val="13"/>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6466"/>
      <w:rPr>
        <w:rFonts w:ascii="宋体" w:hAnsi="宋体" w:eastAsia="宋体" w:cs="宋体"/>
        <w:sz w:val="12"/>
        <w:szCs w:val="12"/>
      </w:rPr>
    </w:pPr>
    <w:r>
      <w:rPr>
        <w:rFonts w:ascii="宋体" w:hAnsi="宋体" w:eastAsia="宋体" w:cs="宋体"/>
        <w:sz w:val="12"/>
        <w:szCs w:val="12"/>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475"/>
      <w:rPr>
        <w:rFonts w:ascii="宋体" w:hAnsi="宋体" w:eastAsia="宋体" w:cs="宋体"/>
        <w:sz w:val="12"/>
        <w:szCs w:val="12"/>
      </w:rPr>
    </w:pPr>
    <w:r>
      <w:rPr>
        <w:rFonts w:ascii="宋体" w:hAnsi="宋体" w:eastAsia="宋体" w:cs="宋体"/>
        <w:spacing w:val="-3"/>
        <w:sz w:val="12"/>
        <w:szCs w:val="12"/>
      </w:rPr>
      <w:t>10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2NmMDdiN2YzOTdkYTdkNDA3MWI0ZjYzYTk0ZmU2MDQifQ=="/>
  </w:docVars>
  <w:rsids>
    <w:rsidRoot w:val="00C4463C"/>
    <w:rsid w:val="000509B1"/>
    <w:rsid w:val="002843FA"/>
    <w:rsid w:val="002D366D"/>
    <w:rsid w:val="00725C26"/>
    <w:rsid w:val="009A1DCA"/>
    <w:rsid w:val="009E6427"/>
    <w:rsid w:val="00BA091C"/>
    <w:rsid w:val="00C4463C"/>
    <w:rsid w:val="00C758D6"/>
    <w:rsid w:val="03BD12A4"/>
    <w:rsid w:val="044A04BA"/>
    <w:rsid w:val="06B87250"/>
    <w:rsid w:val="16564FD6"/>
    <w:rsid w:val="19662315"/>
    <w:rsid w:val="1E1506CD"/>
    <w:rsid w:val="206F7DDC"/>
    <w:rsid w:val="27145003"/>
    <w:rsid w:val="295201CD"/>
    <w:rsid w:val="29F168B0"/>
    <w:rsid w:val="2C2578CB"/>
    <w:rsid w:val="2F767465"/>
    <w:rsid w:val="40B84DFC"/>
    <w:rsid w:val="4D330192"/>
    <w:rsid w:val="4D8B1D7C"/>
    <w:rsid w:val="510D079C"/>
    <w:rsid w:val="5E0B2941"/>
    <w:rsid w:val="61BD7BD2"/>
    <w:rsid w:val="66560D21"/>
    <w:rsid w:val="68000819"/>
    <w:rsid w:val="684E1122"/>
    <w:rsid w:val="688E7ED0"/>
    <w:rsid w:val="71374A18"/>
    <w:rsid w:val="7417659F"/>
    <w:rsid w:val="78C0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eastAsia="Arial"/>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3133</Words>
  <Characters>17859</Characters>
  <Lines>148</Lines>
  <Paragraphs>41</Paragraphs>
  <TotalTime>108</TotalTime>
  <ScaleCrop>false</ScaleCrop>
  <LinksUpToDate>false</LinksUpToDate>
  <CharactersWithSpaces>20951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2024-04-28T10:26:00Z</dcterms:created>
  <dc:creator>Administrator</dc:creator>
  <cp:lastModifiedBy>小敏</cp:lastModifiedBy>
  <dcterms:modified xsi:type="dcterms:W3CDTF">2024-05-20T03:40:46Z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2024-05-16T16:29:39Z</vt:filetime>
  </property>
  <property fmtid="{D5CDD505-2E9C-101B-9397-08002B2CF9AE}" pid="4" name="KSOProductBuildVer">
    <vt:lpwstr>2052-12.1.0.16729</vt:lpwstr>
  </property>
  <property fmtid="{D5CDD505-2E9C-101B-9397-08002B2CF9AE}" pid="5" name="ICV">
    <vt:lpwstr>4CD27DBF15464D40B525C01A768B9506_12</vt:lpwstr>
  </property>
</Properties>
</file>