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全区</w:t>
      </w:r>
      <w:r>
        <w:rPr>
          <w:rFonts w:ascii="方正小标宋简体" w:hAnsi="黑体" w:eastAsia="方正小标宋简体" w:cs="方正小标宋简体"/>
          <w:sz w:val="44"/>
          <w:szCs w:val="44"/>
        </w:rPr>
        <w:t>高校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“三全育人”综合</w:t>
      </w:r>
      <w:r>
        <w:rPr>
          <w:rFonts w:ascii="方正小标宋简体" w:hAnsi="黑体" w:eastAsia="方正小标宋简体" w:cs="方正小标宋简体"/>
          <w:sz w:val="44"/>
          <w:szCs w:val="44"/>
        </w:rPr>
        <w:t>改革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示范院系</w:t>
      </w:r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建设评分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</w:rPr>
      </w:pPr>
    </w:p>
    <w:tbl>
      <w:tblPr>
        <w:tblStyle w:val="4"/>
        <w:tblW w:w="14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061"/>
        <w:gridCol w:w="9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</w:rPr>
              <w:t>一级指标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</w:rPr>
              <w:t>二级指标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黑体"/>
                <w:sz w:val="24"/>
              </w:rPr>
              <w:t>组织领导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1.1健全“三全育人”统筹推进常态机制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1.“三全育人”纳入学院事业发展规划和人才培养方案。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2.推进“三全育人”思路明晰、举措具体、成效明显。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1.2健全完善党政联席会议制度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1.院（系）党组织会议和党政联席会议制度规范，议事决策规则完善。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2.涉及办学方向、教师队伍建设、师生员工切身利益等重大事项，由党组织先研究再提交党政联席会议决定。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1.3坚持党建带团建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1.党建带团建工作模式良好、成效显著。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黑体"/>
                <w:sz w:val="24"/>
              </w:rPr>
              <w:t>课程育人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黑体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2.1建立教案评价制度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1.及时修订教案，把课程育人理念贯穿教案修订全过程。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2.对教师教案严格把关，对未包含课程育人内容的“一票否决”。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2.2建立专业教师课程育人主体作用发挥有效机制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1.把思想政治教育元素纳入课堂教学，作为课堂讲授的重要内容。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2.把课程育人作为教学督导和教师绩效考核的重要方面。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黑体"/>
                <w:sz w:val="24"/>
              </w:rPr>
              <w:t>科研育人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3.1建立科研育人导向机制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1.把正确的政治方向、价值取向、学术导向体现到科学研究全过程各环节。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2.建立科教协同育人机制，在培养师生至诚报国的理想追求、敢为人先的科学精神、开拓创新的进取意识和严谨求实的科研作风上成效明显。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3.2健全科研团队评价制度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1.把思想政治表现作为组建科研团队的底线要求，把育人成效作为科研团队表彰的重要参考。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3.3构建学术诚信体系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1.项目负责人或科研团队负责人注重对师生开展诚信教育。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2.每年至少1次开设学术规范与学术道德专题讲座。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黑体"/>
                <w:sz w:val="24"/>
              </w:rPr>
              <w:t>实践育人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4.1建立社会实践长效机制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1.建立相对稳定的实践育人基地。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2.拥有1-2个社会实践精品项目。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3.建立大学生志愿服务认证和表彰制度。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4.2推进实践教学改革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将实践育人工作纳入学校教学计划，落实规定的学时学分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4.3推进创新创业教育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1.创新创业教育成效明显，拥有至少1个大学生创新创业项目。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黑体"/>
                <w:sz w:val="24"/>
              </w:rPr>
              <w:t>文化育人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5.1建立中华优秀传统文化传承和革命文化教育长效机制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1.把中华优秀传统文化教育纳入思想政治教育工作计划。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结合</w:t>
            </w:r>
            <w:r>
              <w:rPr>
                <w:rFonts w:hint="eastAsia" w:ascii="宋体" w:hAnsi="宋体"/>
                <w:bCs/>
                <w:sz w:val="24"/>
              </w:rPr>
              <w:t>传统节庆日、重大事件和开学典礼、毕业典礼等</w:t>
            </w:r>
            <w:r>
              <w:rPr>
                <w:rFonts w:hint="eastAsia" w:ascii="宋体" w:hAnsi="宋体"/>
                <w:sz w:val="24"/>
              </w:rPr>
              <w:t>开展主题教育活动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黑体"/>
                <w:sz w:val="24"/>
              </w:rPr>
              <w:t>文化育人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5.2建立社会主义先进文化教育长效机制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1.定期开展师生社会主义核心价值观主题教育活动。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2.拥有社会主义核心价值观教育典型案例，选树宣传一批践行社会主义核心价值观先进典型。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5.3建立校园文化育人功能发挥长效机制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1.充分挖掘院（系）和学科专业文化育人要素。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2.院（系）文化建设成效显著，拥有至少1个校园文化品牌。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cs="黑体"/>
                <w:sz w:val="24"/>
              </w:rPr>
              <w:t>网络育人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6.1建立网络素养教育长效机制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1.引导师生增强网络安全意识，遵守网络行为规范。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2.拓展网络教育平台，结合专业特点开发网络教育相关软件。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3.开展网络文化建设活动。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6.2健全网络文化成果评价认定制度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1.将优秀网络文化成果纳入院系科研成果统计、列为教师职务职称评聘条件、作为师生评奖评优依据。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6.3探索网络育人工作量认定办法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1.有专人牵头负责网络力量培养，把网络育人工作计入工作量。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黑体"/>
                <w:sz w:val="24"/>
              </w:rPr>
              <w:t>心理育人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7.1建立心理健康教育长效机制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1.把心理健康教育纳入人才培养方案，对不同学科专业大学生的心理健康教育针对性强。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2.定期开展心理健康教育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活动月或活动季等</w:t>
            </w:r>
            <w:r>
              <w:rPr>
                <w:rFonts w:hint="eastAsia" w:ascii="宋体" w:hAnsi="宋体" w:cs="宋体"/>
                <w:sz w:val="24"/>
              </w:rPr>
              <w:t>主题活动。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7.2健全预警防控体系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1.建立院系、班级、宿舍“三级”预警防控体系，有心理危机干预预案。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8.</w:t>
            </w:r>
            <w:r>
              <w:rPr>
                <w:rFonts w:hint="eastAsia" w:ascii="宋体" w:hAnsi="宋体" w:cs="黑体"/>
                <w:sz w:val="24"/>
              </w:rPr>
              <w:t>管理育人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8.1明确岗位育人职责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1.有体现育人元素的岗位说明书。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8.2加强教师队伍管理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1.把思想政治素质考核作为选聘教师的重要依据。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2.对违反师德和学术不端行为严格查处。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8.3建立考核评价激励机制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1.把育人功能发挥纳入管理岗位考核评价范围，作为评奖评优条件。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4"/>
              </w:rPr>
              <w:t>服务育人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9.1建立服务协同机制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1.建立与后勤、图书、医疗、保卫等多部门联动机制，配合服务部门落实育人要求。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 w:cs="黑体"/>
                <w:sz w:val="24"/>
              </w:rPr>
              <w:t>资助育人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10.1构建资助育人长效机制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建立物质帮助、道德浸润、能力拓展、精神激励有效融合的资助育人长效机制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2.有资助育人优秀案例和先进人物。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10.2资助精准到位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1.资助对象、资助标准、资金分配、资金发放精准到位。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11.</w:t>
            </w:r>
            <w:r>
              <w:rPr>
                <w:rFonts w:hint="eastAsia" w:ascii="宋体" w:hAnsi="宋体" w:cs="黑体"/>
                <w:sz w:val="24"/>
              </w:rPr>
              <w:t>组织育人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11.1坚持评议考核制度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建立党支部书记抓基层党建述职评议考核制度，把“三全育人”作为考核内容。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11.2选优配强党支部书记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1.深入实施教师党支部书记“双带头人”培育工程。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11.3形成育人组织合力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工会、共青团、学生会等群团组织组织动员、引领教育学生有载体、成效好。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12.</w:t>
            </w:r>
            <w:r>
              <w:rPr>
                <w:rFonts w:hint="eastAsia" w:ascii="宋体" w:hAnsi="宋体" w:cs="黑体"/>
                <w:sz w:val="24"/>
              </w:rPr>
              <w:t>条件保障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12.1政策保障到位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1.全面落实“高校思想政治工作质量提升工程”明确的政策要求和刚性指标。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12.2人员保障到位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1.辅导员达到师生比1:200要求，至少配备1名专职辅导员，有专职副书记。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12.3经费保障到位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1.按照师生规模设立党建与思想政治工作专项经费，纳入院系经费预算。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13.特色项目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（10分）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13.1平台建设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1.获得与“三全育人”相关的国家级平台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13.2获奖情况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1.获得与“三全育人”相关的项目、奖项、荣誉、人才称号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13.3典型榜样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1.有教师获得全国高校辅导员年度人物及提名奖和入围奖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2.有学生获得全国大学生年度人物及提名奖和入围奖（2分）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/>
    <w:sectPr>
      <w:footerReference r:id="rId3" w:type="default"/>
      <w:pgSz w:w="16838" w:h="11906" w:orient="landscape"/>
      <w:pgMar w:top="1417" w:right="1134" w:bottom="1134" w:left="1134" w:header="851" w:footer="992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F7EE2D"/>
    <w:rsid w:val="AAB786A2"/>
    <w:rsid w:val="BFFF7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gxxc</cp:lastModifiedBy>
  <cp:lastPrinted>2024-02-06T01:05:34Z</cp:lastPrinted>
  <dcterms:modified xsi:type="dcterms:W3CDTF">2024-02-05T18:02:36Z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