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37" w:lineRule="auto"/>
        <w:ind w:left="12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FZHei-B01"/>
          <w:spacing w:val="-5"/>
          <w:sz w:val="32"/>
          <w:szCs w:val="32"/>
          <w:lang w:eastAsia="zh-CN"/>
        </w:rPr>
        <w:t>附件</w:t>
      </w:r>
      <w:r>
        <w:rPr>
          <w:rFonts w:ascii="黑体" w:hAnsi="黑体" w:eastAsia="黑体" w:cs="Times New Roman"/>
          <w:spacing w:val="-5"/>
          <w:sz w:val="32"/>
          <w:szCs w:val="32"/>
          <w:lang w:eastAsia="zh-CN"/>
        </w:rPr>
        <w:t>1</w:t>
      </w: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before="167" w:line="209" w:lineRule="auto"/>
        <w:jc w:val="center"/>
        <w:rPr>
          <w:rFonts w:hint="eastAsia" w:ascii="宋体" w:hAnsi="宋体" w:eastAsia="宋体" w:cs="方正小标宋简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Times New Roman"/>
          <w:b/>
          <w:bCs/>
          <w:spacing w:val="7"/>
          <w:sz w:val="44"/>
          <w:szCs w:val="44"/>
          <w:lang w:eastAsia="zh-CN"/>
        </w:rPr>
        <w:t>2024</w:t>
      </w:r>
      <w:r>
        <w:rPr>
          <w:rFonts w:hint="eastAsia" w:ascii="宋体" w:hAnsi="宋体" w:eastAsia="宋体" w:cs="方正小标宋简体"/>
          <w:b/>
          <w:bCs/>
          <w:spacing w:val="7"/>
          <w:sz w:val="44"/>
          <w:szCs w:val="44"/>
          <w:lang w:eastAsia="zh-CN"/>
        </w:rPr>
        <w:t>年美育年度发展报告</w:t>
      </w:r>
      <w:r>
        <w:rPr>
          <w:rFonts w:hint="eastAsia" w:ascii="宋体" w:hAnsi="宋体" w:eastAsia="宋体" w:cs="方正小标宋简体"/>
          <w:b/>
          <w:bCs/>
          <w:spacing w:val="8"/>
          <w:sz w:val="44"/>
          <w:szCs w:val="44"/>
          <w:lang w:eastAsia="zh-CN"/>
        </w:rPr>
        <w:t>主要内容</w:t>
      </w:r>
    </w:p>
    <w:p>
      <w:pPr>
        <w:spacing w:line="266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before="113" w:line="360" w:lineRule="auto"/>
        <w:ind w:left="640" w:leftChars="0" w:firstLine="196" w:firstLineChars="60"/>
        <w:outlineLvl w:val="1"/>
        <w:rPr>
          <w:rFonts w:hint="eastAsia" w:ascii="黑体" w:hAnsi="黑体" w:eastAsia="黑体" w:cs="FZHei-B01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FZHei-B01"/>
          <w:spacing w:val="4"/>
          <w:sz w:val="32"/>
          <w:szCs w:val="32"/>
          <w:lang w:eastAsia="zh-CN"/>
        </w:rPr>
        <w:t>一、基本情况</w:t>
      </w:r>
    </w:p>
    <w:p>
      <w:pPr>
        <w:pStyle w:val="2"/>
        <w:spacing w:before="5" w:line="360" w:lineRule="auto"/>
        <w:ind w:right="323" w:firstLine="656" w:firstLineChars="200"/>
        <w:rPr>
          <w:rFonts w:hint="eastAsia" w:ascii="仿宋_GB2312" w:eastAsia="仿宋_GB2312"/>
          <w:spacing w:val="4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4"/>
          <w:sz w:val="32"/>
          <w:szCs w:val="32"/>
          <w:lang w:eastAsia="zh-CN"/>
        </w:rPr>
        <w:t>（一）概况。包括2024年</w:t>
      </w:r>
      <w:r>
        <w:rPr>
          <w:rFonts w:ascii="仿宋_GB2312" w:eastAsia="仿宋_GB2312"/>
          <w:spacing w:val="4"/>
          <w:sz w:val="32"/>
          <w:szCs w:val="32"/>
          <w:lang w:eastAsia="zh-CN"/>
        </w:rPr>
        <w:t>相关单位</w:t>
      </w:r>
      <w:r>
        <w:rPr>
          <w:rFonts w:hint="eastAsia" w:ascii="仿宋_GB2312" w:eastAsia="仿宋_GB2312"/>
          <w:spacing w:val="4"/>
          <w:sz w:val="32"/>
          <w:szCs w:val="32"/>
          <w:lang w:eastAsia="zh-CN"/>
        </w:rPr>
        <w:t>推进学院美育浸润行动的整体思路、重要部署、关键举措、制度保障和发展概况等。</w:t>
      </w:r>
    </w:p>
    <w:p>
      <w:pPr>
        <w:pStyle w:val="2"/>
        <w:spacing w:before="99" w:line="360" w:lineRule="auto"/>
        <w:ind w:left="646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（二）基础数据。</w:t>
      </w:r>
    </w:p>
    <w:p>
      <w:pPr>
        <w:pStyle w:val="2"/>
        <w:spacing w:before="5" w:line="360" w:lineRule="auto"/>
        <w:ind w:left="0" w:leftChars="0" w:right="323" w:firstLine="648" w:firstLineChars="0"/>
        <w:rPr>
          <w:rFonts w:hint="eastAsia" w:ascii="仿宋_GB2312" w:eastAsia="仿宋_GB2312"/>
          <w:spacing w:val="4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4"/>
          <w:sz w:val="32"/>
          <w:szCs w:val="32"/>
          <w:lang w:eastAsia="zh-CN"/>
        </w:rPr>
        <w:t>需提供</w:t>
      </w:r>
      <w:r>
        <w:rPr>
          <w:rFonts w:hint="eastAsia" w:ascii="仿宋_GB2312" w:eastAsia="仿宋_GB2312"/>
          <w:spacing w:val="4"/>
          <w:sz w:val="32"/>
          <w:szCs w:val="32"/>
          <w:lang w:val="en-US" w:eastAsia="zh-CN"/>
        </w:rPr>
        <w:t>本单位</w:t>
      </w:r>
      <w:r>
        <w:rPr>
          <w:rFonts w:hint="eastAsia" w:ascii="仿宋_GB2312" w:eastAsia="仿宋_GB2312"/>
          <w:spacing w:val="4"/>
          <w:sz w:val="32"/>
          <w:szCs w:val="32"/>
          <w:lang w:eastAsia="zh-CN"/>
        </w:rPr>
        <w:t>公共艺术课程开设情况、公共艺术课程专兼职教师数及生师比、开设艺术类专业情况等。</w:t>
      </w:r>
    </w:p>
    <w:p>
      <w:pPr>
        <w:spacing w:before="1" w:line="360" w:lineRule="auto"/>
        <w:ind w:left="639" w:leftChars="0" w:firstLine="199" w:firstLineChars="60"/>
        <w:rPr>
          <w:rFonts w:hint="eastAsia" w:ascii="黑体" w:hAnsi="黑体" w:eastAsia="黑体" w:cs="FZHei-B01"/>
          <w:sz w:val="32"/>
          <w:szCs w:val="32"/>
          <w:lang w:eastAsia="zh-CN"/>
        </w:rPr>
      </w:pPr>
      <w:r>
        <w:rPr>
          <w:rFonts w:hint="eastAsia" w:ascii="黑体" w:hAnsi="黑体" w:eastAsia="黑体" w:cs="FZHei-B01"/>
          <w:spacing w:val="6"/>
          <w:sz w:val="32"/>
          <w:szCs w:val="32"/>
          <w:lang w:eastAsia="zh-CN"/>
        </w:rPr>
        <w:t>二、实施成效</w:t>
      </w:r>
    </w:p>
    <w:p>
      <w:pPr>
        <w:pStyle w:val="2"/>
        <w:spacing w:before="5" w:line="360" w:lineRule="auto"/>
        <w:ind w:left="0" w:leftChars="0" w:right="323" w:firstLine="648" w:firstLineChars="0"/>
        <w:rPr>
          <w:rFonts w:hint="eastAsia" w:ascii="仿宋_GB2312" w:eastAsia="仿宋_GB2312"/>
          <w:spacing w:val="4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4"/>
          <w:sz w:val="32"/>
          <w:szCs w:val="32"/>
          <w:lang w:eastAsia="zh-CN"/>
        </w:rPr>
        <w:t>包括</w:t>
      </w:r>
      <w:r>
        <w:rPr>
          <w:rFonts w:hint="eastAsia" w:ascii="仿宋_GB2312" w:eastAsia="仿宋_GB2312"/>
          <w:spacing w:val="4"/>
          <w:sz w:val="32"/>
          <w:szCs w:val="32"/>
          <w:lang w:val="en-US" w:eastAsia="zh-CN"/>
        </w:rPr>
        <w:t>本单位</w:t>
      </w:r>
      <w:r>
        <w:rPr>
          <w:rFonts w:hint="eastAsia" w:ascii="仿宋_GB2312" w:eastAsia="仿宋_GB2312"/>
          <w:spacing w:val="4"/>
          <w:sz w:val="32"/>
          <w:szCs w:val="32"/>
          <w:lang w:eastAsia="zh-CN"/>
        </w:rPr>
        <w:t>美育浸润行动具体实施成效，取得的工作实绩和相关数据等。</w:t>
      </w:r>
    </w:p>
    <w:p>
      <w:pPr>
        <w:spacing w:before="2" w:line="360" w:lineRule="auto"/>
        <w:ind w:left="644" w:leftChars="0" w:firstLine="195" w:firstLineChars="59"/>
        <w:rPr>
          <w:rFonts w:hint="eastAsia" w:ascii="黑体" w:hAnsi="黑体" w:eastAsia="黑体" w:cs="FZHei-B01"/>
          <w:sz w:val="32"/>
          <w:szCs w:val="32"/>
          <w:lang w:eastAsia="zh-CN"/>
        </w:rPr>
      </w:pPr>
      <w:r>
        <w:rPr>
          <w:rFonts w:hint="eastAsia" w:ascii="黑体" w:hAnsi="黑体" w:eastAsia="黑体" w:cs="FZHei-B01"/>
          <w:spacing w:val="6"/>
          <w:sz w:val="32"/>
          <w:szCs w:val="32"/>
          <w:lang w:eastAsia="zh-CN"/>
        </w:rPr>
        <w:t>三、典型经验</w:t>
      </w:r>
    </w:p>
    <w:p>
      <w:pPr>
        <w:pStyle w:val="2"/>
        <w:spacing w:before="128" w:line="360" w:lineRule="auto"/>
        <w:ind w:left="0" w:leftChars="0" w:firstLine="656" w:firstLineChars="200"/>
        <w:rPr>
          <w:rFonts w:hint="eastAsia" w:ascii="仿宋_GB2312" w:eastAsia="仿宋_GB2312"/>
          <w:spacing w:val="4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4"/>
          <w:sz w:val="32"/>
          <w:szCs w:val="32"/>
          <w:lang w:eastAsia="zh-CN"/>
        </w:rPr>
        <w:t>如围绕政策保障、机制优化、价值导向等因地因校制宜实</w:t>
      </w:r>
      <w:r>
        <w:rPr>
          <w:rFonts w:ascii="仿宋_GB2312" w:eastAsia="仿宋_GB2312"/>
          <w:spacing w:val="4"/>
          <w:sz w:val="32"/>
          <w:szCs w:val="32"/>
          <w:lang w:eastAsia="zh-CN"/>
        </w:rPr>
        <w:t>施</w:t>
      </w:r>
      <w:r>
        <w:rPr>
          <w:rFonts w:hint="eastAsia" w:ascii="仿宋_GB2312" w:eastAsia="仿宋_GB2312"/>
          <w:spacing w:val="4"/>
          <w:sz w:val="32"/>
          <w:szCs w:val="32"/>
          <w:lang w:eastAsia="zh-CN"/>
        </w:rPr>
        <w:t>学院美育浸润行动的典型措施和实践探索，提炼出具有规律性、可推广复制的典型政策制度、经验做法等。</w:t>
      </w:r>
    </w:p>
    <w:p>
      <w:pPr>
        <w:pStyle w:val="2"/>
        <w:spacing w:before="128" w:line="360" w:lineRule="auto"/>
        <w:ind w:left="420" w:leftChars="0" w:firstLine="419" w:firstLineChars="127"/>
        <w:rPr>
          <w:rFonts w:hint="eastAsia" w:ascii="黑体" w:hAnsi="黑体" w:eastAsia="黑体" w:cs="FZHei-B01"/>
          <w:sz w:val="32"/>
          <w:szCs w:val="32"/>
          <w:lang w:eastAsia="zh-CN"/>
        </w:rPr>
      </w:pPr>
      <w:r>
        <w:rPr>
          <w:rFonts w:hint="eastAsia" w:ascii="黑体" w:hAnsi="黑体" w:eastAsia="黑体" w:cs="FZHei-B01"/>
          <w:spacing w:val="5"/>
          <w:sz w:val="32"/>
          <w:szCs w:val="32"/>
          <w:lang w:eastAsia="zh-CN"/>
        </w:rPr>
        <w:t>四、下一步工作打算</w:t>
      </w:r>
    </w:p>
    <w:p>
      <w:pPr>
        <w:pStyle w:val="2"/>
        <w:tabs>
          <w:tab w:val="left" w:pos="0"/>
        </w:tabs>
        <w:spacing w:before="128" w:line="360" w:lineRule="auto"/>
        <w:ind w:left="0" w:leftChars="0" w:firstLine="738" w:firstLineChars="225"/>
      </w:pPr>
      <w:r>
        <w:rPr>
          <w:rFonts w:hint="eastAsia" w:ascii="仿宋_GB2312" w:eastAsia="仿宋_GB2312"/>
          <w:spacing w:val="4"/>
          <w:sz w:val="32"/>
          <w:szCs w:val="32"/>
          <w:lang w:eastAsia="zh-CN"/>
        </w:rPr>
        <w:t>立足年度各</w:t>
      </w:r>
      <w:r>
        <w:rPr>
          <w:rFonts w:ascii="仿宋_GB2312" w:eastAsia="仿宋_GB2312"/>
          <w:spacing w:val="4"/>
          <w:sz w:val="32"/>
          <w:szCs w:val="32"/>
          <w:lang w:eastAsia="zh-CN"/>
        </w:rPr>
        <w:t>相关单位</w:t>
      </w:r>
      <w:r>
        <w:rPr>
          <w:rFonts w:hint="eastAsia" w:ascii="仿宋_GB2312" w:eastAsia="仿宋_GB2312"/>
          <w:spacing w:val="4"/>
          <w:sz w:val="32"/>
          <w:szCs w:val="32"/>
          <w:lang w:eastAsia="zh-CN"/>
        </w:rPr>
        <w:t>美育改革发展的突出困难和挑战，锚定2027年和2030年美育浸润目标，提出下一步工作设想</w:t>
      </w:r>
      <w:r>
        <w:rPr>
          <w:rFonts w:hint="eastAsia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29D498-F730-4F1E-BED7-3A76C76B18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A6499513-6640-4383-979F-3B96E1FE65D1}"/>
  </w:font>
  <w:font w:name="PingFang SC">
    <w:altName w:val="微软雅黑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FZHei-B01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C64A703D-C027-4BA7-BB50-B9888913723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ACD6A95-1866-4054-951F-D90112974D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12C4E49-C375-4F36-B172-F6E3E211261A}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198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NTAxODgwZDRiNDc2MDBjYmZmNDNjZGQ2NWQwOTIifQ=="/>
  </w:docVars>
  <w:rsids>
    <w:rsidRoot w:val="00000000"/>
    <w:rsid w:val="13BB7B66"/>
    <w:rsid w:val="189A5F9C"/>
    <w:rsid w:val="4DC4703C"/>
    <w:rsid w:val="5B402CA9"/>
    <w:rsid w:val="652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PingFang SC" w:hAnsi="PingFang SC" w:eastAsia="PingFang SC" w:cs="PingFang SC"/>
      <w:sz w:val="31"/>
      <w:szCs w:val="31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2024-12-27T01:22:12Z</dcterms:created>
  <dc:creator>Administrator</dc:creator>
  <cp:lastModifiedBy>王科</cp:lastModifiedBy>
  <dcterms:modified xsi:type="dcterms:W3CDTF">2024-12-27T01:27:23Z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09D34E43A1C34978954E6C0E6DA46CE1_12</vt:lpwstr>
  </property>
</Properties>
</file>